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41" w:rsidRDefault="00200C41" w:rsidP="00E802D9">
      <w:pPr>
        <w:pStyle w:val="1"/>
        <w:rPr>
          <w:rtl/>
        </w:rPr>
      </w:pPr>
      <w:r>
        <w:rPr>
          <w:rFonts w:hint="eastAsia"/>
          <w:rtl/>
        </w:rPr>
        <w:t>חוקי</w:t>
      </w:r>
      <w:r>
        <w:rPr>
          <w:rtl/>
        </w:rPr>
        <w:t xml:space="preserve"> </w:t>
      </w:r>
      <w:r>
        <w:rPr>
          <w:rFonts w:hint="eastAsia"/>
          <w:rtl/>
        </w:rPr>
        <w:t>התורה</w:t>
      </w:r>
      <w:r>
        <w:rPr>
          <w:rtl/>
        </w:rPr>
        <w:t xml:space="preserve">: </w:t>
      </w:r>
      <w:r>
        <w:rPr>
          <w:rFonts w:hint="eastAsia"/>
          <w:rtl/>
        </w:rPr>
        <w:t>פרשנות</w:t>
      </w:r>
      <w:r>
        <w:rPr>
          <w:rtl/>
        </w:rPr>
        <w:t xml:space="preserve"> </w:t>
      </w:r>
      <w:bookmarkStart w:id="0" w:name="_GoBack"/>
      <w:bookmarkEnd w:id="0"/>
      <w:r>
        <w:rPr>
          <w:rFonts w:hint="eastAsia"/>
          <w:rtl/>
        </w:rPr>
        <w:t>הסכמי</w:t>
      </w:r>
      <w:r>
        <w:rPr>
          <w:rtl/>
        </w:rPr>
        <w:t xml:space="preserve"> </w:t>
      </w:r>
      <w:r>
        <w:rPr>
          <w:rFonts w:hint="eastAsia"/>
          <w:rtl/>
        </w:rPr>
        <w:t>ממון</w:t>
      </w:r>
    </w:p>
    <w:p w:rsidR="00200C41" w:rsidRPr="00353E6D" w:rsidRDefault="00200C41" w:rsidP="00862902">
      <w:pPr>
        <w:jc w:val="center"/>
        <w:rPr>
          <w:rtl/>
        </w:rPr>
      </w:pPr>
      <w:r>
        <w:rPr>
          <w:rtl/>
        </w:rPr>
        <w:t>הרב הלל גפן</w:t>
      </w:r>
      <w:r>
        <w:rPr>
          <w:rStyle w:val="ac"/>
          <w:rFonts w:cs="David"/>
          <w:rtl/>
        </w:rPr>
        <w:t xml:space="preserve"> </w:t>
      </w:r>
      <w:r w:rsidR="00862902">
        <w:rPr>
          <w:rFonts w:hint="cs"/>
          <w:rtl/>
        </w:rPr>
        <w:t>, מכון משפטי ארץ</w:t>
      </w:r>
    </w:p>
    <w:p w:rsidR="00200C41" w:rsidRDefault="00200C41" w:rsidP="00950F0E">
      <w:pPr>
        <w:pStyle w:val="3"/>
        <w:bidi/>
        <w:rPr>
          <w:rtl/>
        </w:rPr>
      </w:pPr>
      <w:r>
        <w:rPr>
          <w:rFonts w:hint="eastAsia"/>
          <w:rtl/>
        </w:rPr>
        <w:t>הגדרות</w:t>
      </w:r>
    </w:p>
    <w:tbl>
      <w:tblPr>
        <w:bidiVisual/>
        <w:tblW w:w="0" w:type="auto"/>
        <w:tblInd w:w="-106" w:type="dxa"/>
        <w:tblLook w:val="00A0" w:firstRow="1" w:lastRow="0" w:firstColumn="1" w:lastColumn="0" w:noHBand="0" w:noVBand="0"/>
      </w:tblPr>
      <w:tblGrid>
        <w:gridCol w:w="1751"/>
        <w:gridCol w:w="6771"/>
      </w:tblGrid>
      <w:tr w:rsidR="00200C41">
        <w:tc>
          <w:tcPr>
            <w:tcW w:w="1751" w:type="dxa"/>
          </w:tcPr>
          <w:p w:rsidR="00200C41" w:rsidRPr="00274531" w:rsidRDefault="00200C41" w:rsidP="00931461">
            <w:r w:rsidRPr="00274531">
              <w:rPr>
                <w:szCs w:val="22"/>
                <w:rtl/>
              </w:rPr>
              <w:t>"הסכם ממון"</w:t>
            </w:r>
          </w:p>
        </w:tc>
        <w:tc>
          <w:tcPr>
            <w:tcW w:w="6771" w:type="dxa"/>
          </w:tcPr>
          <w:p w:rsidR="00200C41" w:rsidRPr="00274531" w:rsidRDefault="00200C41" w:rsidP="00A71C2D">
            <w:r w:rsidRPr="00274531">
              <w:rPr>
                <w:szCs w:val="22"/>
                <w:rtl/>
              </w:rPr>
              <w:t>כל הסכם ממון מחייב, בין בכתב ובין בעל פה.</w:t>
            </w:r>
          </w:p>
        </w:tc>
      </w:tr>
      <w:tr w:rsidR="00200C41">
        <w:tc>
          <w:tcPr>
            <w:tcW w:w="1751" w:type="dxa"/>
          </w:tcPr>
          <w:p w:rsidR="00200C41" w:rsidRPr="00274531" w:rsidRDefault="00200C41" w:rsidP="00931461">
            <w:r w:rsidRPr="00274531">
              <w:rPr>
                <w:szCs w:val="22"/>
                <w:rtl/>
              </w:rPr>
              <w:t>"תנאי ההסכם"</w:t>
            </w:r>
          </w:p>
        </w:tc>
        <w:tc>
          <w:tcPr>
            <w:tcW w:w="6771" w:type="dxa"/>
          </w:tcPr>
          <w:p w:rsidR="00200C41" w:rsidRPr="00274531" w:rsidRDefault="00200C41" w:rsidP="007B2B0A">
            <w:r w:rsidRPr="00274531">
              <w:rPr>
                <w:spacing w:val="-2"/>
                <w:szCs w:val="22"/>
                <w:rtl/>
              </w:rPr>
              <w:t>פרטי הסכם שהסכימו עליהם הצדדים בעת עריכת ההסכם, בכתב או בעל פה</w:t>
            </w:r>
            <w:r w:rsidRPr="00274531">
              <w:rPr>
                <w:szCs w:val="22"/>
                <w:rtl/>
              </w:rPr>
              <w:t>.</w:t>
            </w:r>
          </w:p>
        </w:tc>
      </w:tr>
    </w:tbl>
    <w:p w:rsidR="00200C41" w:rsidRDefault="00200C41" w:rsidP="008A07ED">
      <w:pPr>
        <w:pStyle w:val="2"/>
        <w:rPr>
          <w:rtl/>
        </w:rPr>
      </w:pPr>
      <w:r>
        <w:rPr>
          <w:rFonts w:hint="eastAsia"/>
          <w:rtl/>
        </w:rPr>
        <w:t>פרק</w:t>
      </w:r>
      <w:r>
        <w:rPr>
          <w:rtl/>
        </w:rPr>
        <w:t xml:space="preserve"> </w:t>
      </w:r>
      <w:r>
        <w:rPr>
          <w:rFonts w:hint="eastAsia"/>
          <w:rtl/>
        </w:rPr>
        <w:t>א</w:t>
      </w:r>
      <w:r>
        <w:rPr>
          <w:rtl/>
        </w:rPr>
        <w:t xml:space="preserve">: </w:t>
      </w:r>
      <w:r>
        <w:rPr>
          <w:rFonts w:hint="eastAsia"/>
          <w:rtl/>
        </w:rPr>
        <w:t>כוונת</w:t>
      </w:r>
      <w:r>
        <w:rPr>
          <w:rtl/>
        </w:rPr>
        <w:t xml:space="preserve"> </w:t>
      </w:r>
      <w:r>
        <w:rPr>
          <w:rFonts w:hint="eastAsia"/>
          <w:rtl/>
        </w:rPr>
        <w:t>הצדדים</w:t>
      </w:r>
      <w:r>
        <w:rPr>
          <w:rtl/>
        </w:rPr>
        <w:t xml:space="preserve"> </w:t>
      </w:r>
      <w:r>
        <w:rPr>
          <w:rFonts w:hint="eastAsia"/>
          <w:rtl/>
        </w:rPr>
        <w:t>ולשון</w:t>
      </w:r>
      <w:r>
        <w:rPr>
          <w:rtl/>
        </w:rPr>
        <w:t xml:space="preserve"> </w:t>
      </w:r>
      <w:r>
        <w:rPr>
          <w:rFonts w:hint="eastAsia"/>
          <w:rtl/>
        </w:rPr>
        <w:t>ההסכם</w:t>
      </w:r>
      <w:r>
        <w:rPr>
          <w:rtl/>
        </w:rPr>
        <w:t xml:space="preserve"> </w:t>
      </w:r>
    </w:p>
    <w:p w:rsidR="00200C41" w:rsidRPr="0037056C" w:rsidRDefault="00200C41" w:rsidP="0037056C">
      <w:pPr>
        <w:pStyle w:val="3"/>
        <w:bidi/>
        <w:rPr>
          <w:rtl/>
        </w:rPr>
      </w:pPr>
      <w:r>
        <w:rPr>
          <w:rFonts w:hint="eastAsia"/>
          <w:rtl/>
        </w:rPr>
        <w:t>לשון</w:t>
      </w:r>
      <w:r>
        <w:rPr>
          <w:rtl/>
        </w:rPr>
        <w:t xml:space="preserve"> </w:t>
      </w:r>
      <w:r>
        <w:rPr>
          <w:rFonts w:hint="eastAsia"/>
          <w:rtl/>
        </w:rPr>
        <w:t>ההסכם</w:t>
      </w:r>
      <w:r>
        <w:rPr>
          <w:rtl/>
        </w:rPr>
        <w:t xml:space="preserve"> </w:t>
      </w:r>
      <w:r>
        <w:rPr>
          <w:rFonts w:hint="eastAsia"/>
          <w:rtl/>
        </w:rPr>
        <w:t>גובר</w:t>
      </w:r>
      <w:r>
        <w:rPr>
          <w:rtl/>
        </w:rPr>
        <w:t xml:space="preserve"> </w:t>
      </w:r>
      <w:r>
        <w:rPr>
          <w:rFonts w:hint="eastAsia"/>
          <w:rtl/>
        </w:rPr>
        <w:t>על</w:t>
      </w:r>
      <w:r>
        <w:rPr>
          <w:rtl/>
        </w:rPr>
        <w:t xml:space="preserve"> </w:t>
      </w:r>
      <w:r>
        <w:rPr>
          <w:rFonts w:hint="eastAsia"/>
          <w:rtl/>
        </w:rPr>
        <w:t>כוונת</w:t>
      </w:r>
      <w:r>
        <w:rPr>
          <w:rtl/>
        </w:rPr>
        <w:t xml:space="preserve"> </w:t>
      </w:r>
      <w:r>
        <w:rPr>
          <w:rFonts w:hint="eastAsia"/>
          <w:rtl/>
        </w:rPr>
        <w:t>אחד</w:t>
      </w:r>
      <w:r>
        <w:rPr>
          <w:rtl/>
        </w:rPr>
        <w:t xml:space="preserve"> </w:t>
      </w:r>
      <w:r>
        <w:rPr>
          <w:rFonts w:hint="eastAsia"/>
          <w:rtl/>
        </w:rPr>
        <w:t>הצדדים</w:t>
      </w:r>
    </w:p>
    <w:p w:rsidR="00200C41" w:rsidRDefault="00200C41" w:rsidP="001E6F50">
      <w:r>
        <w:rPr>
          <w:rtl/>
        </w:rPr>
        <w:t>הסכם ממון יפורש בהתאם לכוונת הצדדים וללשון ההסכם. ואולם, מקום בו קיימת סתירה בין השניים, יפורש ההסכם בהתאם ללשונו.</w:t>
      </w:r>
      <w:r>
        <w:rPr>
          <w:rStyle w:val="ac"/>
          <w:rFonts w:cs="David"/>
          <w:rtl/>
        </w:rPr>
        <w:footnoteReference w:id="1"/>
      </w:r>
    </w:p>
    <w:p w:rsidR="00200C41" w:rsidRDefault="00200C41" w:rsidP="0037056C">
      <w:pPr>
        <w:pStyle w:val="3"/>
        <w:bidi/>
      </w:pPr>
      <w:r>
        <w:rPr>
          <w:rFonts w:hint="eastAsia"/>
          <w:rtl/>
        </w:rPr>
        <w:t>כוונת</w:t>
      </w:r>
      <w:r>
        <w:rPr>
          <w:rtl/>
        </w:rPr>
        <w:t xml:space="preserve"> </w:t>
      </w:r>
      <w:r>
        <w:rPr>
          <w:rFonts w:hint="eastAsia"/>
          <w:rtl/>
        </w:rPr>
        <w:t>שני</w:t>
      </w:r>
      <w:r>
        <w:rPr>
          <w:rtl/>
        </w:rPr>
        <w:t xml:space="preserve"> </w:t>
      </w:r>
      <w:r>
        <w:rPr>
          <w:rFonts w:hint="eastAsia"/>
          <w:rtl/>
        </w:rPr>
        <w:t>הצדדים</w:t>
      </w:r>
      <w:r>
        <w:rPr>
          <w:rtl/>
        </w:rPr>
        <w:t xml:space="preserve"> </w:t>
      </w:r>
      <w:r>
        <w:rPr>
          <w:rFonts w:hint="eastAsia"/>
          <w:rtl/>
        </w:rPr>
        <w:t>גוברת</w:t>
      </w:r>
      <w:r>
        <w:rPr>
          <w:rtl/>
        </w:rPr>
        <w:t xml:space="preserve"> </w:t>
      </w:r>
      <w:r>
        <w:rPr>
          <w:rFonts w:hint="eastAsia"/>
          <w:rtl/>
        </w:rPr>
        <w:t>על</w:t>
      </w:r>
      <w:r>
        <w:rPr>
          <w:rtl/>
        </w:rPr>
        <w:t xml:space="preserve"> </w:t>
      </w:r>
      <w:r>
        <w:rPr>
          <w:rFonts w:hint="eastAsia"/>
          <w:rtl/>
        </w:rPr>
        <w:t>לשון</w:t>
      </w:r>
      <w:r>
        <w:rPr>
          <w:rtl/>
        </w:rPr>
        <w:t xml:space="preserve"> </w:t>
      </w:r>
      <w:r>
        <w:rPr>
          <w:rFonts w:hint="eastAsia"/>
          <w:rtl/>
        </w:rPr>
        <w:t>ההסכם</w:t>
      </w:r>
    </w:p>
    <w:p w:rsidR="00200C41" w:rsidRDefault="00200C41" w:rsidP="002834B9">
      <w:r>
        <w:rPr>
          <w:rtl/>
        </w:rPr>
        <w:t>על אף האמור בסעיף 2, כאשר הנסיבות מוכיחות שכוונת הצדדים שונה מזו העולה מתנאי ההסכם, יפורש ההסכם בהתאם לכוונת הצדדים.</w:t>
      </w:r>
      <w:r>
        <w:rPr>
          <w:rStyle w:val="ac"/>
          <w:rFonts w:cs="David"/>
        </w:rPr>
        <w:footnoteReference w:id="2"/>
      </w:r>
    </w:p>
    <w:p w:rsidR="00200C41" w:rsidRDefault="00200C41" w:rsidP="002834B9">
      <w:pPr>
        <w:pStyle w:val="2"/>
        <w:rPr>
          <w:rtl/>
        </w:rPr>
      </w:pPr>
      <w:r>
        <w:rPr>
          <w:rFonts w:hint="eastAsia"/>
          <w:rtl/>
        </w:rPr>
        <w:t>פרק</w:t>
      </w:r>
      <w:r>
        <w:rPr>
          <w:rtl/>
        </w:rPr>
        <w:t xml:space="preserve"> </w:t>
      </w:r>
      <w:r>
        <w:rPr>
          <w:rFonts w:hint="eastAsia"/>
          <w:rtl/>
        </w:rPr>
        <w:t>ב</w:t>
      </w:r>
      <w:r>
        <w:rPr>
          <w:rtl/>
        </w:rPr>
        <w:t xml:space="preserve">: </w:t>
      </w:r>
      <w:r>
        <w:rPr>
          <w:rFonts w:hint="eastAsia"/>
          <w:rtl/>
        </w:rPr>
        <w:t>השלמת</w:t>
      </w:r>
      <w:r>
        <w:rPr>
          <w:rtl/>
        </w:rPr>
        <w:t xml:space="preserve"> </w:t>
      </w:r>
      <w:r>
        <w:rPr>
          <w:rFonts w:hint="eastAsia"/>
          <w:rtl/>
        </w:rPr>
        <w:t>ההסכם</w:t>
      </w:r>
    </w:p>
    <w:p w:rsidR="00200C41" w:rsidRPr="00950F0E" w:rsidRDefault="00200C41" w:rsidP="002834B9">
      <w:pPr>
        <w:pStyle w:val="3"/>
        <w:bidi/>
      </w:pPr>
      <w:bookmarkStart w:id="1" w:name="_Ref72676132"/>
      <w:r>
        <w:rPr>
          <w:rFonts w:hint="eastAsia"/>
          <w:rtl/>
        </w:rPr>
        <w:t>השלמה</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הסכם</w:t>
      </w:r>
      <w:r>
        <w:rPr>
          <w:rtl/>
        </w:rPr>
        <w:t xml:space="preserve"> </w:t>
      </w:r>
      <w:r>
        <w:rPr>
          <w:rFonts w:hint="eastAsia"/>
          <w:rtl/>
        </w:rPr>
        <w:t>קודם</w:t>
      </w:r>
      <w:bookmarkEnd w:id="1"/>
    </w:p>
    <w:p w:rsidR="00200C41" w:rsidRDefault="00200C41" w:rsidP="0067161E">
      <w:pPr>
        <w:widowControl w:val="0"/>
      </w:pPr>
      <w:bookmarkStart w:id="2" w:name="_Ref60588030"/>
      <w:r>
        <w:rPr>
          <w:rtl/>
        </w:rPr>
        <w:t>צדדים שכרתו ביניהם הסכם (להלן: ההסכם הראשון), ואחר כך כרתו ביניהם הסכם נוסף, העוסק באותו עניין שבו עסק ההסכם הראשון (להלן: ההסכם השני), ובהסכם השני קיבלו במפורש חלק מתנאי ההסכם הראשון, חזקה עליהם שקיבלו על עצמם בהסכם השני את שאר התנאים שנכללו בהסכם הראשון, אף אם תנאים אלו לא הוזכרו במפורש בהסכם השני.</w:t>
      </w:r>
      <w:r>
        <w:rPr>
          <w:rStyle w:val="ac"/>
          <w:rFonts w:cs="David"/>
        </w:rPr>
        <w:footnoteReference w:id="3"/>
      </w:r>
      <w:bookmarkEnd w:id="2"/>
    </w:p>
    <w:p w:rsidR="00200C41" w:rsidRDefault="00200C41" w:rsidP="00A71C2D">
      <w:pPr>
        <w:pStyle w:val="3"/>
        <w:bidi/>
        <w:rPr>
          <w:rtl/>
        </w:rPr>
      </w:pPr>
      <w:r>
        <w:rPr>
          <w:rFonts w:hint="eastAsia"/>
          <w:rtl/>
        </w:rPr>
        <w:lastRenderedPageBreak/>
        <w:t>השלמה</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המנהג</w:t>
      </w:r>
    </w:p>
    <w:p w:rsidR="00200C41" w:rsidRDefault="00200C41" w:rsidP="00297785">
      <w:r>
        <w:rPr>
          <w:rtl/>
        </w:rPr>
        <w:t>תנאים שלא נקבעו במפורש על ידי הצדדים, ולא ניתן להשלימם על פי הסכם קודם בין הצדדים כאמור בסעיף</w:t>
      </w:r>
      <w:r w:rsidR="00297785">
        <w:rPr>
          <w:rFonts w:hint="cs"/>
          <w:rtl/>
        </w:rPr>
        <w:t xml:space="preserve"> </w:t>
      </w:r>
      <w:r w:rsidR="00297785">
        <w:rPr>
          <w:rtl/>
        </w:rPr>
        <w:fldChar w:fldCharType="begin"/>
      </w:r>
      <w:r w:rsidR="00297785">
        <w:rPr>
          <w:rtl/>
        </w:rPr>
        <w:instrText xml:space="preserve"> </w:instrText>
      </w:r>
      <w:r w:rsidR="00297785">
        <w:rPr>
          <w:rFonts w:hint="cs"/>
        </w:rPr>
        <w:instrText>REF</w:instrText>
      </w:r>
      <w:r w:rsidR="00297785">
        <w:rPr>
          <w:rFonts w:hint="cs"/>
          <w:rtl/>
        </w:rPr>
        <w:instrText xml:space="preserve"> _</w:instrText>
      </w:r>
      <w:r w:rsidR="00297785">
        <w:rPr>
          <w:rFonts w:hint="cs"/>
        </w:rPr>
        <w:instrText>Ref72676132 \r \h</w:instrText>
      </w:r>
      <w:r w:rsidR="00297785">
        <w:rPr>
          <w:rtl/>
        </w:rPr>
        <w:instrText xml:space="preserve"> </w:instrText>
      </w:r>
      <w:r w:rsidR="00297785">
        <w:rPr>
          <w:rtl/>
        </w:rPr>
      </w:r>
      <w:r w:rsidR="00297785">
        <w:rPr>
          <w:rtl/>
        </w:rPr>
        <w:fldChar w:fldCharType="separate"/>
      </w:r>
      <w:r w:rsidR="00297785">
        <w:rPr>
          <w:cs/>
        </w:rPr>
        <w:t>‎</w:t>
      </w:r>
      <w:r w:rsidR="00297785">
        <w:t>4</w:t>
      </w:r>
      <w:r w:rsidR="00297785">
        <w:rPr>
          <w:rtl/>
        </w:rPr>
        <w:fldChar w:fldCharType="end"/>
      </w:r>
      <w:r>
        <w:rPr>
          <w:rtl/>
        </w:rPr>
        <w:t>, יושלמו בהתאם למנהג המקובל.</w:t>
      </w:r>
      <w:r>
        <w:rPr>
          <w:rStyle w:val="ac"/>
          <w:rFonts w:cs="David"/>
        </w:rPr>
        <w:footnoteReference w:id="4"/>
      </w:r>
    </w:p>
    <w:p w:rsidR="00200C41" w:rsidRDefault="00200C41" w:rsidP="0037056C">
      <w:pPr>
        <w:pStyle w:val="2"/>
        <w:rPr>
          <w:rtl/>
        </w:rPr>
      </w:pPr>
      <w:r>
        <w:rPr>
          <w:rFonts w:hint="eastAsia"/>
          <w:rtl/>
        </w:rPr>
        <w:t>פרק</w:t>
      </w:r>
      <w:r>
        <w:rPr>
          <w:rtl/>
        </w:rPr>
        <w:t xml:space="preserve"> </w:t>
      </w:r>
      <w:r>
        <w:rPr>
          <w:rFonts w:hint="eastAsia"/>
          <w:rtl/>
        </w:rPr>
        <w:t>ג</w:t>
      </w:r>
      <w:r>
        <w:rPr>
          <w:rtl/>
        </w:rPr>
        <w:t xml:space="preserve">: </w:t>
      </w:r>
      <w:r>
        <w:rPr>
          <w:rFonts w:hint="eastAsia"/>
          <w:rtl/>
        </w:rPr>
        <w:t>כללים</w:t>
      </w:r>
      <w:r>
        <w:rPr>
          <w:rtl/>
        </w:rPr>
        <w:t xml:space="preserve"> </w:t>
      </w:r>
      <w:r>
        <w:rPr>
          <w:rFonts w:hint="eastAsia"/>
          <w:rtl/>
        </w:rPr>
        <w:t>בפרשנות</w:t>
      </w:r>
      <w:r>
        <w:rPr>
          <w:rtl/>
        </w:rPr>
        <w:t xml:space="preserve"> </w:t>
      </w:r>
      <w:r>
        <w:rPr>
          <w:rFonts w:hint="eastAsia"/>
          <w:rtl/>
        </w:rPr>
        <w:t>ההסכם</w:t>
      </w:r>
    </w:p>
    <w:p w:rsidR="00200C41" w:rsidRPr="0037056C" w:rsidRDefault="00200C41" w:rsidP="002834B9">
      <w:pPr>
        <w:pStyle w:val="3"/>
        <w:bidi/>
        <w:rPr>
          <w:rtl/>
        </w:rPr>
      </w:pPr>
      <w:r>
        <w:rPr>
          <w:rFonts w:hint="eastAsia"/>
          <w:rtl/>
        </w:rPr>
        <w:t>פרשנות</w:t>
      </w:r>
      <w:r>
        <w:rPr>
          <w:rtl/>
        </w:rPr>
        <w:t xml:space="preserve"> </w:t>
      </w:r>
      <w:r>
        <w:rPr>
          <w:rFonts w:hint="eastAsia"/>
          <w:rtl/>
        </w:rPr>
        <w:t>בהתאם</w:t>
      </w:r>
      <w:r>
        <w:rPr>
          <w:rtl/>
        </w:rPr>
        <w:t xml:space="preserve"> </w:t>
      </w:r>
      <w:r>
        <w:rPr>
          <w:rFonts w:hint="eastAsia"/>
          <w:rtl/>
        </w:rPr>
        <w:t>להלכה</w:t>
      </w:r>
    </w:p>
    <w:p w:rsidR="00200C41" w:rsidRDefault="00200C41" w:rsidP="00A71C2D">
      <w:r>
        <w:rPr>
          <w:rtl/>
        </w:rPr>
        <w:t>יש להעדיף פרשנות על פיה תנאי ההסכם זהים לתנאים החלים על פי ההלכה.</w:t>
      </w:r>
      <w:r>
        <w:rPr>
          <w:rStyle w:val="ac"/>
          <w:rFonts w:cs="David"/>
          <w:rtl/>
        </w:rPr>
        <w:footnoteReference w:id="5"/>
      </w:r>
    </w:p>
    <w:p w:rsidR="00200C41" w:rsidRDefault="00200C41" w:rsidP="00A71C2D">
      <w:pPr>
        <w:pStyle w:val="3"/>
        <w:bidi/>
      </w:pPr>
      <w:r>
        <w:rPr>
          <w:rFonts w:hint="eastAsia"/>
          <w:rtl/>
        </w:rPr>
        <w:t>פרשנות</w:t>
      </w:r>
      <w:r>
        <w:rPr>
          <w:rtl/>
        </w:rPr>
        <w:t xml:space="preserve"> </w:t>
      </w:r>
      <w:r>
        <w:rPr>
          <w:rFonts w:hint="eastAsia"/>
          <w:rtl/>
        </w:rPr>
        <w:t>סבירה</w:t>
      </w:r>
    </w:p>
    <w:p w:rsidR="00200C41" w:rsidRDefault="00200C41" w:rsidP="007B2B0A">
      <w:r>
        <w:rPr>
          <w:rtl/>
        </w:rPr>
        <w:t>יש להעדיף את הפרשנות הסבירה ביותר מבין האפשרויות הפרשניות השונות.</w:t>
      </w:r>
      <w:r>
        <w:rPr>
          <w:rStyle w:val="ac"/>
          <w:rFonts w:cs="David"/>
        </w:rPr>
        <w:footnoteReference w:id="6"/>
      </w:r>
    </w:p>
    <w:p w:rsidR="00200C41" w:rsidRDefault="00200C41" w:rsidP="002834B9">
      <w:pPr>
        <w:pStyle w:val="3"/>
        <w:bidi/>
      </w:pPr>
      <w:r>
        <w:rPr>
          <w:rFonts w:hint="eastAsia"/>
          <w:rtl/>
        </w:rPr>
        <w:t>פרשנות</w:t>
      </w:r>
      <w:r>
        <w:rPr>
          <w:rtl/>
        </w:rPr>
        <w:t xml:space="preserve"> </w:t>
      </w:r>
      <w:r>
        <w:rPr>
          <w:rFonts w:hint="eastAsia"/>
          <w:rtl/>
        </w:rPr>
        <w:t>המקיימת</w:t>
      </w:r>
      <w:r>
        <w:rPr>
          <w:rtl/>
        </w:rPr>
        <w:t xml:space="preserve"> </w:t>
      </w:r>
      <w:r>
        <w:rPr>
          <w:rFonts w:hint="eastAsia"/>
          <w:rtl/>
        </w:rPr>
        <w:t>את</w:t>
      </w:r>
      <w:r>
        <w:rPr>
          <w:rtl/>
        </w:rPr>
        <w:t xml:space="preserve"> </w:t>
      </w:r>
      <w:r>
        <w:rPr>
          <w:rFonts w:hint="eastAsia"/>
          <w:rtl/>
        </w:rPr>
        <w:t>ההסכם</w:t>
      </w:r>
    </w:p>
    <w:p w:rsidR="00200C41" w:rsidRDefault="00200C41" w:rsidP="007B2B0A">
      <w:r w:rsidRPr="0067161E">
        <w:rPr>
          <w:rtl/>
        </w:rPr>
        <w:t>יש להעדיף פרשנות המקיימת את ההסכם על פני פרשנות המבטלת את תוקפו או מונעת את יישומו</w:t>
      </w:r>
      <w:r>
        <w:rPr>
          <w:rtl/>
        </w:rPr>
        <w:t>.</w:t>
      </w:r>
      <w:r>
        <w:rPr>
          <w:rStyle w:val="ac"/>
          <w:rFonts w:cs="David"/>
        </w:rPr>
        <w:footnoteReference w:id="7"/>
      </w:r>
    </w:p>
    <w:p w:rsidR="00200C41" w:rsidRDefault="00200C41" w:rsidP="0037056C">
      <w:pPr>
        <w:pStyle w:val="3"/>
        <w:bidi/>
        <w:rPr>
          <w:rtl/>
        </w:rPr>
      </w:pPr>
      <w:r>
        <w:rPr>
          <w:rFonts w:hint="eastAsia"/>
          <w:rtl/>
        </w:rPr>
        <w:t>פרשנות</w:t>
      </w:r>
      <w:r>
        <w:rPr>
          <w:rtl/>
        </w:rPr>
        <w:t xml:space="preserve"> </w:t>
      </w:r>
      <w:r>
        <w:rPr>
          <w:rFonts w:hint="eastAsia"/>
          <w:rtl/>
        </w:rPr>
        <w:t>בהתאם</w:t>
      </w:r>
      <w:r>
        <w:rPr>
          <w:rtl/>
        </w:rPr>
        <w:t xml:space="preserve"> </w:t>
      </w:r>
      <w:r>
        <w:rPr>
          <w:rFonts w:hint="eastAsia"/>
          <w:rtl/>
        </w:rPr>
        <w:t>למידע</w:t>
      </w:r>
      <w:r>
        <w:rPr>
          <w:rtl/>
        </w:rPr>
        <w:t xml:space="preserve"> </w:t>
      </w:r>
      <w:r>
        <w:rPr>
          <w:rFonts w:hint="eastAsia"/>
          <w:rtl/>
        </w:rPr>
        <w:t>שהיה</w:t>
      </w:r>
      <w:r>
        <w:rPr>
          <w:rtl/>
        </w:rPr>
        <w:t xml:space="preserve"> </w:t>
      </w:r>
      <w:r>
        <w:rPr>
          <w:rFonts w:hint="eastAsia"/>
          <w:rtl/>
        </w:rPr>
        <w:t>בידי</w:t>
      </w:r>
      <w:r>
        <w:rPr>
          <w:rtl/>
        </w:rPr>
        <w:t xml:space="preserve"> </w:t>
      </w:r>
      <w:r>
        <w:rPr>
          <w:rFonts w:hint="eastAsia"/>
          <w:rtl/>
        </w:rPr>
        <w:t>הצדדים</w:t>
      </w:r>
    </w:p>
    <w:p w:rsidR="00200C41" w:rsidRDefault="00200C41" w:rsidP="001A09C1">
      <w:pPr>
        <w:rPr>
          <w:b/>
          <w:bCs/>
        </w:rPr>
      </w:pPr>
      <w:r>
        <w:rPr>
          <w:rtl/>
        </w:rPr>
        <w:t>הסכם יתפרש כמתייחס לנסיבות האירועים האפשריים שהיו ידועים לצדדים בעת כריתתו.</w:t>
      </w:r>
      <w:r>
        <w:rPr>
          <w:rStyle w:val="ac"/>
          <w:rFonts w:cs="David"/>
        </w:rPr>
        <w:footnoteReference w:id="8"/>
      </w:r>
    </w:p>
    <w:p w:rsidR="00200C41" w:rsidRDefault="00200C41" w:rsidP="00D1118A">
      <w:pPr>
        <w:pStyle w:val="3"/>
        <w:bidi/>
      </w:pPr>
      <w:r>
        <w:rPr>
          <w:rFonts w:hint="eastAsia"/>
          <w:rtl/>
        </w:rPr>
        <w:t>פרשנות</w:t>
      </w:r>
      <w:r>
        <w:rPr>
          <w:rtl/>
        </w:rPr>
        <w:t xml:space="preserve"> </w:t>
      </w:r>
      <w:r>
        <w:rPr>
          <w:rFonts w:hint="eastAsia"/>
          <w:rtl/>
        </w:rPr>
        <w:t>לרעת</w:t>
      </w:r>
      <w:r>
        <w:rPr>
          <w:rtl/>
        </w:rPr>
        <w:t xml:space="preserve"> </w:t>
      </w:r>
      <w:r>
        <w:rPr>
          <w:rFonts w:hint="eastAsia"/>
          <w:rtl/>
        </w:rPr>
        <w:t>מי</w:t>
      </w:r>
      <w:r>
        <w:rPr>
          <w:rtl/>
        </w:rPr>
        <w:t xml:space="preserve"> </w:t>
      </w:r>
      <w:r>
        <w:rPr>
          <w:rFonts w:hint="eastAsia"/>
          <w:rtl/>
        </w:rPr>
        <w:t>שניסח</w:t>
      </w:r>
      <w:r>
        <w:rPr>
          <w:rtl/>
        </w:rPr>
        <w:t xml:space="preserve"> </w:t>
      </w:r>
      <w:r>
        <w:rPr>
          <w:rFonts w:hint="eastAsia"/>
          <w:rtl/>
        </w:rPr>
        <w:t>את</w:t>
      </w:r>
      <w:r>
        <w:rPr>
          <w:rtl/>
        </w:rPr>
        <w:t xml:space="preserve"> </w:t>
      </w:r>
      <w:r>
        <w:rPr>
          <w:rFonts w:hint="eastAsia"/>
          <w:rtl/>
        </w:rPr>
        <w:t>ההסכם</w:t>
      </w:r>
    </w:p>
    <w:p w:rsidR="00200C41" w:rsidRDefault="00200C41" w:rsidP="00950F0E">
      <w:r>
        <w:rPr>
          <w:rtl/>
        </w:rPr>
        <w:t>אין הכרח לפרש הסכם לרעת מי שניסח אותו.</w:t>
      </w:r>
      <w:r>
        <w:rPr>
          <w:rStyle w:val="ac"/>
          <w:rFonts w:cs="David"/>
        </w:rPr>
        <w:footnoteReference w:id="9"/>
      </w:r>
    </w:p>
    <w:p w:rsidR="00200C41" w:rsidRDefault="00200C41" w:rsidP="00F169B6">
      <w:pPr>
        <w:pStyle w:val="2"/>
        <w:rPr>
          <w:rtl/>
        </w:rPr>
      </w:pPr>
      <w:r>
        <w:rPr>
          <w:rFonts w:hint="eastAsia"/>
          <w:rtl/>
        </w:rPr>
        <w:lastRenderedPageBreak/>
        <w:t>פרק</w:t>
      </w:r>
      <w:r>
        <w:rPr>
          <w:rtl/>
        </w:rPr>
        <w:t xml:space="preserve"> </w:t>
      </w:r>
      <w:r>
        <w:rPr>
          <w:rFonts w:hint="eastAsia"/>
          <w:rtl/>
        </w:rPr>
        <w:t>ד</w:t>
      </w:r>
      <w:r>
        <w:rPr>
          <w:rtl/>
        </w:rPr>
        <w:t xml:space="preserve">: </w:t>
      </w:r>
      <w:r>
        <w:rPr>
          <w:rFonts w:hint="eastAsia"/>
          <w:rtl/>
        </w:rPr>
        <w:t>פרשנות</w:t>
      </w:r>
      <w:r>
        <w:rPr>
          <w:rtl/>
        </w:rPr>
        <w:t xml:space="preserve"> </w:t>
      </w:r>
      <w:r>
        <w:rPr>
          <w:rFonts w:hint="eastAsia"/>
          <w:rtl/>
        </w:rPr>
        <w:t>הסכם</w:t>
      </w:r>
      <w:r>
        <w:rPr>
          <w:rtl/>
        </w:rPr>
        <w:t xml:space="preserve"> </w:t>
      </w:r>
      <w:r>
        <w:rPr>
          <w:rFonts w:hint="eastAsia"/>
          <w:rtl/>
        </w:rPr>
        <w:t>בהתאם</w:t>
      </w:r>
      <w:r>
        <w:rPr>
          <w:rtl/>
        </w:rPr>
        <w:t xml:space="preserve"> </w:t>
      </w:r>
      <w:r>
        <w:rPr>
          <w:rFonts w:hint="eastAsia"/>
          <w:rtl/>
        </w:rPr>
        <w:t>לתמורה</w:t>
      </w:r>
      <w:r>
        <w:rPr>
          <w:rtl/>
        </w:rPr>
        <w:t xml:space="preserve"> ("</w:t>
      </w:r>
      <w:r>
        <w:rPr>
          <w:rFonts w:hint="eastAsia"/>
          <w:rtl/>
        </w:rPr>
        <w:t>דמים</w:t>
      </w:r>
      <w:r>
        <w:rPr>
          <w:rtl/>
        </w:rPr>
        <w:t xml:space="preserve"> </w:t>
      </w:r>
      <w:r>
        <w:rPr>
          <w:rFonts w:hint="eastAsia"/>
          <w:rtl/>
        </w:rPr>
        <w:t>מודיעים</w:t>
      </w:r>
      <w:r>
        <w:rPr>
          <w:rtl/>
        </w:rPr>
        <w:t>")</w:t>
      </w:r>
    </w:p>
    <w:p w:rsidR="00200C41" w:rsidRDefault="00200C41" w:rsidP="00F169B6">
      <w:pPr>
        <w:pStyle w:val="3"/>
        <w:bidi/>
      </w:pPr>
      <w:r>
        <w:rPr>
          <w:rFonts w:hint="eastAsia"/>
          <w:rtl/>
        </w:rPr>
        <w:t>שיעור</w:t>
      </w:r>
      <w:r>
        <w:rPr>
          <w:rtl/>
        </w:rPr>
        <w:t xml:space="preserve"> </w:t>
      </w:r>
      <w:r>
        <w:rPr>
          <w:rFonts w:hint="eastAsia"/>
          <w:rtl/>
        </w:rPr>
        <w:t>התמורה</w:t>
      </w:r>
      <w:r>
        <w:rPr>
          <w:rtl/>
        </w:rPr>
        <w:t xml:space="preserve"> </w:t>
      </w:r>
      <w:r>
        <w:rPr>
          <w:rFonts w:hint="eastAsia"/>
          <w:rtl/>
        </w:rPr>
        <w:t>אינו</w:t>
      </w:r>
      <w:r>
        <w:rPr>
          <w:rtl/>
        </w:rPr>
        <w:t xml:space="preserve"> </w:t>
      </w:r>
      <w:r>
        <w:rPr>
          <w:rFonts w:hint="eastAsia"/>
          <w:rtl/>
        </w:rPr>
        <w:t>ראייה</w:t>
      </w:r>
      <w:r>
        <w:rPr>
          <w:rtl/>
        </w:rPr>
        <w:t xml:space="preserve"> </w:t>
      </w:r>
      <w:r>
        <w:rPr>
          <w:rFonts w:hint="eastAsia"/>
          <w:rtl/>
        </w:rPr>
        <w:t>להכללת</w:t>
      </w:r>
      <w:r>
        <w:rPr>
          <w:rtl/>
        </w:rPr>
        <w:t xml:space="preserve"> </w:t>
      </w:r>
      <w:r>
        <w:rPr>
          <w:rFonts w:hint="eastAsia"/>
          <w:rtl/>
        </w:rPr>
        <w:t>פריטים</w:t>
      </w:r>
      <w:r>
        <w:rPr>
          <w:rtl/>
        </w:rPr>
        <w:t xml:space="preserve"> </w:t>
      </w:r>
      <w:r>
        <w:rPr>
          <w:rFonts w:hint="eastAsia"/>
          <w:rtl/>
        </w:rPr>
        <w:t>נוספים</w:t>
      </w:r>
      <w:r>
        <w:rPr>
          <w:rtl/>
        </w:rPr>
        <w:t xml:space="preserve"> </w:t>
      </w:r>
      <w:r>
        <w:rPr>
          <w:rFonts w:hint="eastAsia"/>
          <w:rtl/>
        </w:rPr>
        <w:t>בעסקה</w:t>
      </w:r>
      <w:r w:rsidDel="00BB4BDD">
        <w:rPr>
          <w:rtl/>
        </w:rPr>
        <w:t xml:space="preserve"> </w:t>
      </w:r>
    </w:p>
    <w:p w:rsidR="00200C41" w:rsidRDefault="00200C41" w:rsidP="002D3997">
      <w:r>
        <w:rPr>
          <w:rtl/>
        </w:rPr>
        <w:t>כאשר מדובר בהסכם העוסק בנכס ממשי שיעור התמורה שנקבע בהסכם אינו מהווה ראיה שההסכם כולל פריטים נוספים מעבר למה שסוכם במפורש,</w:t>
      </w:r>
      <w:r>
        <w:rPr>
          <w:rStyle w:val="ac"/>
          <w:rFonts w:cs="David"/>
          <w:rtl/>
        </w:rPr>
        <w:footnoteReference w:id="10"/>
      </w:r>
      <w:r>
        <w:rPr>
          <w:rtl/>
        </w:rPr>
        <w:t xml:space="preserve"> אלא אם פריטים אלו היו מחוברים לנכס הנמכר.</w:t>
      </w:r>
      <w:r>
        <w:rPr>
          <w:rStyle w:val="ac"/>
          <w:rFonts w:cs="David"/>
          <w:rtl/>
        </w:rPr>
        <w:footnoteReference w:id="11"/>
      </w:r>
    </w:p>
    <w:p w:rsidR="00200C41" w:rsidRDefault="00200C41" w:rsidP="00BB4BDD">
      <w:pPr>
        <w:pStyle w:val="3"/>
        <w:bidi/>
        <w:rPr>
          <w:rtl/>
        </w:rPr>
      </w:pPr>
      <w:r>
        <w:rPr>
          <w:rFonts w:hint="eastAsia"/>
          <w:rtl/>
        </w:rPr>
        <w:t>שיעור</w:t>
      </w:r>
      <w:r>
        <w:rPr>
          <w:rtl/>
        </w:rPr>
        <w:t xml:space="preserve"> </w:t>
      </w:r>
      <w:r>
        <w:rPr>
          <w:rFonts w:hint="eastAsia"/>
          <w:rtl/>
        </w:rPr>
        <w:t>התמורה</w:t>
      </w:r>
      <w:r>
        <w:rPr>
          <w:rtl/>
        </w:rPr>
        <w:t xml:space="preserve"> </w:t>
      </w:r>
      <w:r>
        <w:rPr>
          <w:rFonts w:hint="eastAsia"/>
          <w:rtl/>
        </w:rPr>
        <w:t>מהווה</w:t>
      </w:r>
      <w:r>
        <w:rPr>
          <w:rtl/>
        </w:rPr>
        <w:t xml:space="preserve"> </w:t>
      </w:r>
      <w:r>
        <w:rPr>
          <w:rFonts w:hint="eastAsia"/>
          <w:rtl/>
        </w:rPr>
        <w:t>ראיה</w:t>
      </w:r>
      <w:r>
        <w:rPr>
          <w:rtl/>
        </w:rPr>
        <w:t xml:space="preserve"> </w:t>
      </w:r>
      <w:r>
        <w:rPr>
          <w:rFonts w:hint="eastAsia"/>
          <w:rtl/>
        </w:rPr>
        <w:t>כשיש</w:t>
      </w:r>
      <w:r>
        <w:rPr>
          <w:rtl/>
        </w:rPr>
        <w:t xml:space="preserve"> </w:t>
      </w:r>
      <w:r>
        <w:rPr>
          <w:rFonts w:hint="eastAsia"/>
          <w:rtl/>
        </w:rPr>
        <w:t>מחלוקת</w:t>
      </w:r>
      <w:r>
        <w:rPr>
          <w:rtl/>
        </w:rPr>
        <w:t xml:space="preserve"> </w:t>
      </w:r>
      <w:r>
        <w:rPr>
          <w:rFonts w:hint="eastAsia"/>
          <w:rtl/>
        </w:rPr>
        <w:t>במה</w:t>
      </w:r>
      <w:r>
        <w:rPr>
          <w:rtl/>
        </w:rPr>
        <w:t xml:space="preserve"> </w:t>
      </w:r>
      <w:r>
        <w:rPr>
          <w:rFonts w:hint="eastAsia"/>
          <w:rtl/>
        </w:rPr>
        <w:t>עוסק</w:t>
      </w:r>
      <w:r>
        <w:rPr>
          <w:rtl/>
        </w:rPr>
        <w:t xml:space="preserve"> </w:t>
      </w:r>
      <w:r>
        <w:rPr>
          <w:rFonts w:hint="eastAsia"/>
          <w:rtl/>
        </w:rPr>
        <w:t>ההסכם</w:t>
      </w:r>
    </w:p>
    <w:p w:rsidR="00200C41" w:rsidRDefault="00200C41" w:rsidP="00BA3722">
      <w:pPr>
        <w:rPr>
          <w:rtl/>
        </w:rPr>
      </w:pPr>
      <w:r>
        <w:rPr>
          <w:rtl/>
        </w:rPr>
        <w:t>כ</w:t>
      </w:r>
      <w:r w:rsidRPr="006A40B5">
        <w:rPr>
          <w:rtl/>
        </w:rPr>
        <w:t xml:space="preserve">אשר </w:t>
      </w:r>
      <w:r>
        <w:rPr>
          <w:rtl/>
        </w:rPr>
        <w:t>ההסכם עוסק במכירת נכס או שירות ששמו זהה לנכס או שירות אחר ובשל כך לא ברור במה בדיוק עוסק ההסכם, ניתן להכריע את הספק על פי שיעור התמורה שנקבעה בהסכם</w:t>
      </w:r>
      <w:r w:rsidRPr="006A40B5">
        <w:rPr>
          <w:rtl/>
        </w:rPr>
        <w:t>.</w:t>
      </w:r>
      <w:r>
        <w:rPr>
          <w:rStyle w:val="ac"/>
          <w:rFonts w:cs="David"/>
          <w:rtl/>
        </w:rPr>
        <w:footnoteReference w:id="12"/>
      </w:r>
    </w:p>
    <w:p w:rsidR="00200C41" w:rsidRDefault="00200C41" w:rsidP="007B2B0A">
      <w:pPr>
        <w:pStyle w:val="3"/>
        <w:bidi/>
        <w:rPr>
          <w:rtl/>
        </w:rPr>
      </w:pPr>
      <w:r>
        <w:rPr>
          <w:rFonts w:hint="eastAsia"/>
          <w:rtl/>
        </w:rPr>
        <w:t>התמורה</w:t>
      </w:r>
      <w:r>
        <w:rPr>
          <w:rtl/>
        </w:rPr>
        <w:t xml:space="preserve"> </w:t>
      </w:r>
      <w:r>
        <w:rPr>
          <w:rFonts w:hint="eastAsia"/>
          <w:rtl/>
        </w:rPr>
        <w:t>כראייה</w:t>
      </w:r>
      <w:r>
        <w:rPr>
          <w:rtl/>
        </w:rPr>
        <w:t xml:space="preserve"> </w:t>
      </w:r>
      <w:r>
        <w:rPr>
          <w:rFonts w:hint="eastAsia"/>
          <w:rtl/>
        </w:rPr>
        <w:t>לקיומו</w:t>
      </w:r>
      <w:r>
        <w:rPr>
          <w:rtl/>
        </w:rPr>
        <w:t xml:space="preserve"> </w:t>
      </w:r>
      <w:r>
        <w:rPr>
          <w:rFonts w:hint="eastAsia"/>
          <w:rtl/>
        </w:rPr>
        <w:t>של</w:t>
      </w:r>
      <w:r>
        <w:rPr>
          <w:rtl/>
        </w:rPr>
        <w:t xml:space="preserve"> </w:t>
      </w:r>
      <w:r>
        <w:rPr>
          <w:rFonts w:hint="eastAsia"/>
          <w:rtl/>
        </w:rPr>
        <w:t>תנאי</w:t>
      </w:r>
      <w:r>
        <w:rPr>
          <w:rtl/>
        </w:rPr>
        <w:t xml:space="preserve"> </w:t>
      </w:r>
      <w:r>
        <w:rPr>
          <w:rFonts w:hint="eastAsia"/>
          <w:rtl/>
        </w:rPr>
        <w:t>בעסקה</w:t>
      </w:r>
      <w:r>
        <w:rPr>
          <w:rtl/>
        </w:rPr>
        <w:t xml:space="preserve"> </w:t>
      </w:r>
      <w:r>
        <w:rPr>
          <w:rFonts w:hint="eastAsia"/>
          <w:rtl/>
        </w:rPr>
        <w:t>או</w:t>
      </w:r>
      <w:r>
        <w:rPr>
          <w:rtl/>
        </w:rPr>
        <w:t xml:space="preserve"> </w:t>
      </w:r>
      <w:r>
        <w:rPr>
          <w:rFonts w:hint="eastAsia"/>
          <w:rtl/>
        </w:rPr>
        <w:t>לאיכות</w:t>
      </w:r>
      <w:r>
        <w:rPr>
          <w:rtl/>
        </w:rPr>
        <w:t xml:space="preserve"> </w:t>
      </w:r>
      <w:r>
        <w:rPr>
          <w:rFonts w:hint="eastAsia"/>
          <w:rtl/>
        </w:rPr>
        <w:t>המוצר</w:t>
      </w:r>
    </w:p>
    <w:p w:rsidR="00200C41" w:rsidRDefault="00200C41" w:rsidP="007B2B0A">
      <w:pPr>
        <w:rPr>
          <w:rtl/>
        </w:rPr>
      </w:pPr>
      <w:r>
        <w:rPr>
          <w:rtl/>
        </w:rPr>
        <w:t>שיעור התמורה עשוי להוות ראיה לעניין קיומם של תנאי הסכם שלא הוזכרו במפורש</w:t>
      </w:r>
      <w:r>
        <w:rPr>
          <w:rStyle w:val="ac"/>
          <w:rFonts w:cs="David"/>
          <w:rtl/>
        </w:rPr>
        <w:footnoteReference w:id="13"/>
      </w:r>
      <w:r>
        <w:rPr>
          <w:rtl/>
        </w:rPr>
        <w:t xml:space="preserve"> וכן לעניין איכות הנכס שנמכר.</w:t>
      </w:r>
      <w:r>
        <w:rPr>
          <w:rStyle w:val="ac"/>
          <w:rFonts w:cs="David"/>
          <w:rtl/>
        </w:rPr>
        <w:footnoteReference w:id="14"/>
      </w:r>
    </w:p>
    <w:p w:rsidR="00200C41" w:rsidRDefault="00200C41" w:rsidP="00BB4BDD">
      <w:pPr>
        <w:pStyle w:val="3"/>
        <w:bidi/>
      </w:pPr>
      <w:r>
        <w:rPr>
          <w:rFonts w:hint="eastAsia"/>
          <w:rtl/>
        </w:rPr>
        <w:t>תחולה</w:t>
      </w:r>
      <w:r>
        <w:rPr>
          <w:rtl/>
        </w:rPr>
        <w:t xml:space="preserve"> </w:t>
      </w:r>
      <w:r>
        <w:rPr>
          <w:rFonts w:hint="eastAsia"/>
          <w:rtl/>
        </w:rPr>
        <w:t>על</w:t>
      </w:r>
      <w:r>
        <w:rPr>
          <w:rtl/>
        </w:rPr>
        <w:t xml:space="preserve"> </w:t>
      </w:r>
      <w:r>
        <w:rPr>
          <w:rFonts w:hint="eastAsia"/>
          <w:rtl/>
        </w:rPr>
        <w:t>עסקות</w:t>
      </w:r>
      <w:r>
        <w:rPr>
          <w:rtl/>
        </w:rPr>
        <w:t xml:space="preserve"> </w:t>
      </w:r>
      <w:r>
        <w:rPr>
          <w:rFonts w:hint="eastAsia"/>
          <w:rtl/>
        </w:rPr>
        <w:t>שלא</w:t>
      </w:r>
      <w:r>
        <w:rPr>
          <w:rtl/>
        </w:rPr>
        <w:t xml:space="preserve"> </w:t>
      </w:r>
      <w:r>
        <w:rPr>
          <w:rFonts w:hint="eastAsia"/>
          <w:rtl/>
        </w:rPr>
        <w:t>חלות</w:t>
      </w:r>
      <w:r>
        <w:rPr>
          <w:rtl/>
        </w:rPr>
        <w:t xml:space="preserve"> </w:t>
      </w:r>
      <w:r>
        <w:rPr>
          <w:rFonts w:hint="eastAsia"/>
          <w:rtl/>
        </w:rPr>
        <w:t>עליהן</w:t>
      </w:r>
      <w:r>
        <w:rPr>
          <w:rtl/>
        </w:rPr>
        <w:t xml:space="preserve"> </w:t>
      </w:r>
      <w:r>
        <w:rPr>
          <w:rFonts w:hint="eastAsia"/>
          <w:rtl/>
        </w:rPr>
        <w:t>דיני</w:t>
      </w:r>
      <w:r>
        <w:rPr>
          <w:rtl/>
        </w:rPr>
        <w:t xml:space="preserve"> </w:t>
      </w:r>
      <w:r>
        <w:rPr>
          <w:rFonts w:hint="eastAsia"/>
          <w:rtl/>
        </w:rPr>
        <w:t>אונאת</w:t>
      </w:r>
      <w:r>
        <w:rPr>
          <w:rtl/>
        </w:rPr>
        <w:t xml:space="preserve"> </w:t>
      </w:r>
      <w:r>
        <w:rPr>
          <w:rFonts w:hint="eastAsia"/>
          <w:rtl/>
        </w:rPr>
        <w:t>ממון</w:t>
      </w:r>
    </w:p>
    <w:p w:rsidR="00200C41" w:rsidRDefault="00200C41" w:rsidP="00BB4BDD">
      <w:r>
        <w:rPr>
          <w:rtl/>
        </w:rPr>
        <w:t>הוראותיו של פרק זה חלות גם על הסכמים שלא חלים עליהם דיני אונאת ממון כמפורש בחוקי התורה: אונאת ממון, כגון, עסקות במקרקעין</w:t>
      </w:r>
      <w:r w:rsidRPr="006A40B5">
        <w:rPr>
          <w:rtl/>
        </w:rPr>
        <w:t>.</w:t>
      </w:r>
      <w:r>
        <w:rPr>
          <w:rStyle w:val="ac"/>
          <w:rFonts w:cs="David"/>
          <w:rtl/>
        </w:rPr>
        <w:footnoteReference w:id="15"/>
      </w:r>
    </w:p>
    <w:p w:rsidR="00200C41" w:rsidRDefault="00200C41" w:rsidP="0037056C">
      <w:pPr>
        <w:pStyle w:val="2"/>
        <w:rPr>
          <w:rtl/>
        </w:rPr>
      </w:pPr>
      <w:r>
        <w:rPr>
          <w:rFonts w:hint="eastAsia"/>
          <w:rtl/>
        </w:rPr>
        <w:t>פרק</w:t>
      </w:r>
      <w:r>
        <w:rPr>
          <w:rtl/>
        </w:rPr>
        <w:t xml:space="preserve"> </w:t>
      </w:r>
      <w:r>
        <w:rPr>
          <w:rFonts w:hint="eastAsia"/>
          <w:rtl/>
        </w:rPr>
        <w:t>ה</w:t>
      </w:r>
      <w:r>
        <w:rPr>
          <w:rtl/>
        </w:rPr>
        <w:t xml:space="preserve">: </w:t>
      </w:r>
      <w:r>
        <w:rPr>
          <w:rFonts w:hint="eastAsia"/>
          <w:rtl/>
        </w:rPr>
        <w:t>סתירות</w:t>
      </w:r>
      <w:r>
        <w:rPr>
          <w:rtl/>
        </w:rPr>
        <w:t xml:space="preserve"> </w:t>
      </w:r>
      <w:r>
        <w:rPr>
          <w:rFonts w:hint="eastAsia"/>
          <w:rtl/>
        </w:rPr>
        <w:t>בהסכם</w:t>
      </w:r>
    </w:p>
    <w:p w:rsidR="00200C41" w:rsidRPr="0037056C" w:rsidRDefault="00200C41" w:rsidP="0037056C">
      <w:pPr>
        <w:pStyle w:val="3"/>
        <w:bidi/>
      </w:pPr>
      <w:r>
        <w:rPr>
          <w:rFonts w:hint="eastAsia"/>
          <w:rtl/>
        </w:rPr>
        <w:t>העדפת</w:t>
      </w:r>
      <w:r>
        <w:rPr>
          <w:rtl/>
        </w:rPr>
        <w:t xml:space="preserve"> </w:t>
      </w:r>
      <w:r>
        <w:rPr>
          <w:rFonts w:hint="eastAsia"/>
          <w:rtl/>
        </w:rPr>
        <w:t>פרשנות</w:t>
      </w:r>
      <w:r>
        <w:rPr>
          <w:rtl/>
        </w:rPr>
        <w:t xml:space="preserve"> </w:t>
      </w:r>
      <w:r>
        <w:rPr>
          <w:rFonts w:hint="eastAsia"/>
          <w:rtl/>
        </w:rPr>
        <w:t>המיישבת</w:t>
      </w:r>
      <w:r>
        <w:rPr>
          <w:rtl/>
        </w:rPr>
        <w:t xml:space="preserve"> </w:t>
      </w:r>
      <w:r>
        <w:rPr>
          <w:rFonts w:hint="eastAsia"/>
          <w:rtl/>
        </w:rPr>
        <w:t>סתירות</w:t>
      </w:r>
    </w:p>
    <w:p w:rsidR="00200C41" w:rsidRDefault="00200C41" w:rsidP="007B2B0A">
      <w:pPr>
        <w:rPr>
          <w:rtl/>
        </w:rPr>
      </w:pPr>
      <w:r>
        <w:rPr>
          <w:rtl/>
        </w:rPr>
        <w:t xml:space="preserve">בהסכם שבו שני תנאים הסותרים זה את זה – </w:t>
      </w:r>
    </w:p>
    <w:p w:rsidR="00200C41" w:rsidRDefault="00200C41" w:rsidP="0067161E">
      <w:pPr>
        <w:pStyle w:val="afa"/>
        <w:numPr>
          <w:ilvl w:val="0"/>
          <w:numId w:val="13"/>
        </w:numPr>
        <w:spacing w:line="360" w:lineRule="auto"/>
      </w:pPr>
      <w:r>
        <w:rPr>
          <w:rtl/>
        </w:rPr>
        <w:t>יש להעדיף פרשנות המיישבת את הסתירה.</w:t>
      </w:r>
      <w:r>
        <w:rPr>
          <w:rStyle w:val="ac"/>
          <w:rFonts w:cs="David"/>
          <w:rtl/>
        </w:rPr>
        <w:footnoteReference w:id="16"/>
      </w:r>
    </w:p>
    <w:p w:rsidR="00200C41" w:rsidRDefault="00200C41" w:rsidP="0067161E">
      <w:pPr>
        <w:pStyle w:val="afa"/>
        <w:widowControl w:val="0"/>
        <w:numPr>
          <w:ilvl w:val="0"/>
          <w:numId w:val="13"/>
        </w:numPr>
        <w:spacing w:line="360" w:lineRule="auto"/>
        <w:ind w:left="714" w:hanging="357"/>
      </w:pPr>
      <w:r>
        <w:rPr>
          <w:rtl/>
        </w:rPr>
        <w:t xml:space="preserve">לא ניתן לפרש את ההסכם כאמור בס"ק (א), יש להעדיף תנאי שנכתב מאוחר על פני זה </w:t>
      </w:r>
      <w:r>
        <w:rPr>
          <w:rtl/>
        </w:rPr>
        <w:lastRenderedPageBreak/>
        <w:t>שנכתב מוקדם.</w:t>
      </w:r>
      <w:r>
        <w:rPr>
          <w:rStyle w:val="ac"/>
          <w:rFonts w:cs="David"/>
          <w:rtl/>
        </w:rPr>
        <w:footnoteReference w:id="17"/>
      </w:r>
    </w:p>
    <w:p w:rsidR="00200C41" w:rsidRDefault="00200C41" w:rsidP="007B2B0A">
      <w:pPr>
        <w:pStyle w:val="3"/>
        <w:bidi/>
      </w:pPr>
      <w:r>
        <w:rPr>
          <w:rFonts w:hint="eastAsia"/>
          <w:rtl/>
        </w:rPr>
        <w:t>טעות</w:t>
      </w:r>
      <w:r>
        <w:rPr>
          <w:rtl/>
        </w:rPr>
        <w:t xml:space="preserve"> </w:t>
      </w:r>
      <w:r>
        <w:rPr>
          <w:rFonts w:hint="eastAsia"/>
          <w:rtl/>
        </w:rPr>
        <w:t>סופר</w:t>
      </w:r>
    </w:p>
    <w:p w:rsidR="00200C41" w:rsidRDefault="00200C41" w:rsidP="00DC1708">
      <w:pPr>
        <w:rPr>
          <w:rtl/>
        </w:rPr>
      </w:pPr>
      <w:r w:rsidRPr="0067161E">
        <w:rPr>
          <w:rtl/>
        </w:rPr>
        <w:t>בהסכם שבו שני תנאים הסותרים זה את זה ונראה כי אחד מהם נכתב בטעות, יש להתעלם מתנאי זה</w:t>
      </w:r>
      <w:r>
        <w:rPr>
          <w:rtl/>
        </w:rPr>
        <w:t>.</w:t>
      </w:r>
      <w:r>
        <w:rPr>
          <w:rStyle w:val="ac"/>
          <w:rFonts w:cs="David"/>
          <w:rtl/>
        </w:rPr>
        <w:footnoteReference w:id="18"/>
      </w:r>
    </w:p>
    <w:p w:rsidR="00200C41" w:rsidRDefault="00200C41" w:rsidP="007B2B0A">
      <w:pPr>
        <w:pStyle w:val="3"/>
        <w:bidi/>
        <w:rPr>
          <w:rtl/>
        </w:rPr>
      </w:pPr>
      <w:r>
        <w:rPr>
          <w:rFonts w:hint="eastAsia"/>
          <w:rtl/>
        </w:rPr>
        <w:t>סתירה</w:t>
      </w:r>
      <w:r>
        <w:rPr>
          <w:rtl/>
        </w:rPr>
        <w:t xml:space="preserve"> </w:t>
      </w:r>
      <w:r>
        <w:rPr>
          <w:rFonts w:hint="eastAsia"/>
          <w:rtl/>
        </w:rPr>
        <w:t>בין</w:t>
      </w:r>
      <w:r>
        <w:rPr>
          <w:rtl/>
        </w:rPr>
        <w:t xml:space="preserve"> </w:t>
      </w:r>
      <w:r>
        <w:rPr>
          <w:rFonts w:hint="eastAsia"/>
          <w:rtl/>
        </w:rPr>
        <w:t>רשימת</w:t>
      </w:r>
      <w:r>
        <w:rPr>
          <w:rtl/>
        </w:rPr>
        <w:t xml:space="preserve"> </w:t>
      </w:r>
      <w:r>
        <w:rPr>
          <w:rFonts w:hint="eastAsia"/>
          <w:rtl/>
        </w:rPr>
        <w:t>פריטים</w:t>
      </w:r>
      <w:r>
        <w:rPr>
          <w:rtl/>
        </w:rPr>
        <w:t xml:space="preserve"> </w:t>
      </w:r>
      <w:r>
        <w:rPr>
          <w:rFonts w:hint="eastAsia"/>
          <w:rtl/>
        </w:rPr>
        <w:t>לסיכום</w:t>
      </w:r>
      <w:r>
        <w:rPr>
          <w:rtl/>
        </w:rPr>
        <w:t xml:space="preserve"> </w:t>
      </w:r>
      <w:r>
        <w:rPr>
          <w:rFonts w:hint="eastAsia"/>
          <w:rtl/>
        </w:rPr>
        <w:t>שלהם</w:t>
      </w:r>
    </w:p>
    <w:p w:rsidR="00200C41" w:rsidRDefault="00200C41" w:rsidP="007B2B0A">
      <w:r>
        <w:rPr>
          <w:rtl/>
        </w:rPr>
        <w:t>בהסכם שיש בו סתירה בין רשימת פריטים לבין הסיכום שלהם – יש להעדיף את רשימת הפריטים.</w:t>
      </w:r>
      <w:r>
        <w:rPr>
          <w:rStyle w:val="ac"/>
          <w:rFonts w:cs="David"/>
          <w:rtl/>
        </w:rPr>
        <w:footnoteReference w:id="19"/>
      </w:r>
    </w:p>
    <w:p w:rsidR="00200C41" w:rsidRDefault="00200C41" w:rsidP="00A71C2D">
      <w:pPr>
        <w:pStyle w:val="2"/>
      </w:pPr>
      <w:r>
        <w:rPr>
          <w:rFonts w:hint="eastAsia"/>
          <w:rtl/>
        </w:rPr>
        <w:t>פרק</w:t>
      </w:r>
      <w:r>
        <w:rPr>
          <w:rtl/>
        </w:rPr>
        <w:t xml:space="preserve"> </w:t>
      </w:r>
      <w:r>
        <w:rPr>
          <w:rFonts w:hint="eastAsia"/>
          <w:rtl/>
        </w:rPr>
        <w:t>ו</w:t>
      </w:r>
      <w:r>
        <w:rPr>
          <w:rtl/>
        </w:rPr>
        <w:t xml:space="preserve">: </w:t>
      </w:r>
      <w:r>
        <w:rPr>
          <w:rFonts w:hint="eastAsia"/>
          <w:rtl/>
        </w:rPr>
        <w:t>ספק</w:t>
      </w:r>
      <w:r>
        <w:rPr>
          <w:rtl/>
        </w:rPr>
        <w:t xml:space="preserve"> </w:t>
      </w:r>
      <w:r>
        <w:rPr>
          <w:rFonts w:hint="eastAsia"/>
          <w:rtl/>
        </w:rPr>
        <w:t>שאינו</w:t>
      </w:r>
      <w:r>
        <w:rPr>
          <w:rtl/>
        </w:rPr>
        <w:t xml:space="preserve"> </w:t>
      </w:r>
      <w:r>
        <w:rPr>
          <w:rFonts w:hint="eastAsia"/>
          <w:rtl/>
        </w:rPr>
        <w:t>מוכרע</w:t>
      </w:r>
    </w:p>
    <w:p w:rsidR="00200C41" w:rsidRDefault="00200C41" w:rsidP="007B2B0A">
      <w:pPr>
        <w:pStyle w:val="3"/>
        <w:bidi/>
      </w:pPr>
      <w:r>
        <w:rPr>
          <w:rFonts w:hint="eastAsia"/>
          <w:rtl/>
        </w:rPr>
        <w:t>יד</w:t>
      </w:r>
      <w:r>
        <w:rPr>
          <w:rtl/>
        </w:rPr>
        <w:t xml:space="preserve"> </w:t>
      </w:r>
      <w:r>
        <w:rPr>
          <w:rFonts w:hint="eastAsia"/>
          <w:rtl/>
        </w:rPr>
        <w:t>המחזיק</w:t>
      </w:r>
      <w:r>
        <w:rPr>
          <w:rtl/>
        </w:rPr>
        <w:t xml:space="preserve"> </w:t>
      </w:r>
      <w:r>
        <w:rPr>
          <w:rFonts w:hint="eastAsia"/>
          <w:rtl/>
        </w:rPr>
        <w:t>על</w:t>
      </w:r>
      <w:r>
        <w:rPr>
          <w:rtl/>
        </w:rPr>
        <w:t xml:space="preserve"> </w:t>
      </w:r>
      <w:r>
        <w:rPr>
          <w:rFonts w:hint="eastAsia"/>
          <w:rtl/>
        </w:rPr>
        <w:t>העליונה</w:t>
      </w:r>
    </w:p>
    <w:p w:rsidR="00200C41" w:rsidRDefault="00200C41" w:rsidP="00BB4BDD">
      <w:pPr>
        <w:rPr>
          <w:rtl/>
        </w:rPr>
      </w:pPr>
      <w:r>
        <w:rPr>
          <w:rtl/>
        </w:rPr>
        <w:t>כאשר קיים ספק בפרשנות ההסכם, ולא ניתן להכריע את הספק בהתאם לכללי הפרשנות האמורים בפרקים הקודמים, אין להוציא מאדם ממון או נכס על יסוד פרשנות התומכת בכך.</w:t>
      </w:r>
      <w:r>
        <w:rPr>
          <w:rStyle w:val="ac"/>
          <w:rFonts w:cs="David"/>
          <w:rtl/>
        </w:rPr>
        <w:footnoteReference w:id="20"/>
      </w:r>
    </w:p>
    <w:p w:rsidR="00200C41" w:rsidRPr="0001655B" w:rsidRDefault="00200C41" w:rsidP="00A71C2D">
      <w:pPr>
        <w:rPr>
          <w:rtl/>
        </w:rPr>
      </w:pPr>
    </w:p>
    <w:sectPr w:rsidR="00200C41" w:rsidRPr="0001655B" w:rsidSect="006C19D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A2" w:rsidRDefault="00BC02A2" w:rsidP="00E833FF">
      <w:pPr>
        <w:spacing w:before="0" w:line="240" w:lineRule="auto"/>
      </w:pPr>
      <w:r>
        <w:separator/>
      </w:r>
    </w:p>
  </w:endnote>
  <w:endnote w:type="continuationSeparator" w:id="0">
    <w:p w:rsidR="00BC02A2" w:rsidRDefault="00BC02A2" w:rsidP="00E833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1" w:rsidRDefault="00BC02A2">
    <w:pPr>
      <w:pStyle w:val="a9"/>
      <w:jc w:val="center"/>
      <w:rPr>
        <w:rFonts w:ascii="Times New Roman" w:hAnsi="Times New Roman"/>
      </w:rPr>
    </w:pPr>
    <w:r>
      <w:fldChar w:fldCharType="begin"/>
    </w:r>
    <w:r>
      <w:instrText>PAGE   \* MERGEFORMAT</w:instrText>
    </w:r>
    <w:r>
      <w:fldChar w:fldCharType="separate"/>
    </w:r>
    <w:r w:rsidR="00437174" w:rsidRPr="00437174">
      <w:rPr>
        <w:noProof/>
        <w:rtl/>
        <w:lang w:val="he-IL"/>
      </w:rPr>
      <w:t>1</w:t>
    </w:r>
    <w:r>
      <w:rPr>
        <w:noProof/>
        <w:lang w:val="he-IL"/>
      </w:rPr>
      <w:fldChar w:fldCharType="end"/>
    </w:r>
  </w:p>
  <w:p w:rsidR="00200C41" w:rsidRDefault="00200C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A2" w:rsidRDefault="00BC02A2" w:rsidP="00E833FF">
      <w:pPr>
        <w:spacing w:before="0" w:line="240" w:lineRule="auto"/>
      </w:pPr>
      <w:r>
        <w:separator/>
      </w:r>
    </w:p>
  </w:footnote>
  <w:footnote w:type="continuationSeparator" w:id="0">
    <w:p w:rsidR="00BC02A2" w:rsidRDefault="00BC02A2" w:rsidP="00E833FF">
      <w:pPr>
        <w:spacing w:before="0" w:line="240" w:lineRule="auto"/>
      </w:pPr>
      <w:r>
        <w:continuationSeparator/>
      </w:r>
    </w:p>
  </w:footnote>
  <w:footnote w:id="1">
    <w:p w:rsidR="00200C41" w:rsidRPr="004A5DBA" w:rsidRDefault="00200C41" w:rsidP="00E37A7D">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רז, ד.</w:t>
      </w:r>
    </w:p>
  </w:footnote>
  <w:footnote w:id="2">
    <w:p w:rsidR="00200C41" w:rsidRPr="004A5DBA" w:rsidRDefault="00200C41" w:rsidP="00447B2F">
      <w:pPr>
        <w:pStyle w:val="a3"/>
        <w:rPr>
          <w:rFonts w:ascii="David" w:hAnsi="David" w:cs="David"/>
        </w:rPr>
      </w:pPr>
      <w:r w:rsidRPr="004A5DBA">
        <w:rPr>
          <w:rStyle w:val="ac"/>
          <w:rFonts w:ascii="David" w:hAnsi="David" w:cs="David"/>
        </w:rPr>
        <w:footnoteRef/>
      </w:r>
      <w:r w:rsidRPr="004A5DBA">
        <w:rPr>
          <w:rFonts w:ascii="David" w:hAnsi="David" w:cs="David"/>
          <w:rtl/>
        </w:rPr>
        <w:t xml:space="preserve"> המונח ההלכתי לכך הוא "אומדנא דמוכח". </w:t>
      </w:r>
      <w:r w:rsidRPr="004A5DBA">
        <w:rPr>
          <w:rFonts w:ascii="David" w:hAnsi="David" w:cs="David"/>
          <w:b/>
          <w:bCs/>
          <w:rtl/>
        </w:rPr>
        <w:t>שולחן ערוך</w:t>
      </w:r>
      <w:r w:rsidRPr="004A5DBA">
        <w:rPr>
          <w:rFonts w:ascii="David" w:hAnsi="David" w:cs="David"/>
          <w:rtl/>
        </w:rPr>
        <w:t xml:space="preserve"> חו"מ סא, טז; </w:t>
      </w:r>
      <w:r w:rsidRPr="004A5DBA">
        <w:rPr>
          <w:rFonts w:ascii="David" w:hAnsi="David" w:cs="David"/>
          <w:b/>
          <w:bCs/>
          <w:rtl/>
        </w:rPr>
        <w:t>בית מאיר</w:t>
      </w:r>
      <w:r w:rsidRPr="004A5DBA">
        <w:rPr>
          <w:rFonts w:ascii="David" w:hAnsi="David" w:cs="David"/>
          <w:rtl/>
        </w:rPr>
        <w:t xml:space="preserve"> אה"ע קיח, יט; </w:t>
      </w:r>
      <w:r w:rsidRPr="004A5DBA">
        <w:rPr>
          <w:rFonts w:ascii="David" w:hAnsi="David" w:cs="David"/>
          <w:b/>
          <w:bCs/>
          <w:rtl/>
        </w:rPr>
        <w:t>נחל יצחק</w:t>
      </w:r>
      <w:r w:rsidRPr="004A5DBA">
        <w:rPr>
          <w:rFonts w:ascii="David" w:hAnsi="David" w:cs="David"/>
          <w:rtl/>
        </w:rPr>
        <w:t xml:space="preserve"> סא, טז. לדעת המהרש"ם </w:t>
      </w:r>
      <w:r w:rsidRPr="004A5DBA">
        <w:rPr>
          <w:rFonts w:ascii="David" w:hAnsi="David" w:cs="David"/>
          <w:b/>
          <w:bCs/>
          <w:rtl/>
        </w:rPr>
        <w:t>(שו"ת</w:t>
      </w:r>
      <w:r w:rsidRPr="004A5DBA">
        <w:rPr>
          <w:rFonts w:ascii="David" w:hAnsi="David" w:cs="David"/>
          <w:rtl/>
        </w:rPr>
        <w:t xml:space="preserve"> </w:t>
      </w:r>
      <w:r w:rsidRPr="004A5DBA">
        <w:rPr>
          <w:rFonts w:ascii="David" w:hAnsi="David" w:cs="David"/>
          <w:b/>
          <w:bCs/>
          <w:rtl/>
        </w:rPr>
        <w:t>מהרש"ם</w:t>
      </w:r>
      <w:r w:rsidRPr="004A5DBA">
        <w:rPr>
          <w:rFonts w:ascii="David" w:hAnsi="David" w:cs="David"/>
          <w:rtl/>
        </w:rPr>
        <w:t xml:space="preserve"> ה, עח) הולכים אחר הכוונה נגד לשון השטר גם כאשר אין "אומדנא דמוכח", לפחות שלא להוציא ממון.</w:t>
      </w:r>
    </w:p>
  </w:footnote>
  <w:footnote w:id="3">
    <w:p w:rsidR="00200C41" w:rsidRPr="004A5DBA" w:rsidRDefault="00200C41" w:rsidP="00F55752">
      <w:pPr>
        <w:pStyle w:val="a3"/>
        <w:rPr>
          <w:rFonts w:ascii="David" w:hAnsi="David" w:cs="David"/>
          <w:rtl/>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רמ"א</w:t>
      </w:r>
      <w:r w:rsidRPr="004A5DBA">
        <w:rPr>
          <w:rFonts w:ascii="David" w:hAnsi="David" w:cs="David"/>
          <w:rtl/>
        </w:rPr>
        <w:t xml:space="preserve"> חו"מ קסג, ה; שלג, ח;</w:t>
      </w:r>
      <w:r w:rsidRPr="004A5DBA">
        <w:rPr>
          <w:rFonts w:ascii="David" w:hAnsi="David" w:cs="David"/>
          <w:b/>
          <w:bCs/>
          <w:rtl/>
        </w:rPr>
        <w:t xml:space="preserve"> שולחן ערוך</w:t>
      </w:r>
      <w:r w:rsidRPr="004A5DBA">
        <w:rPr>
          <w:rFonts w:ascii="David" w:hAnsi="David" w:cs="David"/>
          <w:rtl/>
        </w:rPr>
        <w:t xml:space="preserve"> חו"מ שיב, ט. כאשר בהסכם החדש ישנם פרטים שהשתנו ביחס להסכם הקודם ישנה מחלוקת. לדעת ה</w:t>
      </w:r>
      <w:r w:rsidRPr="004A5DBA">
        <w:rPr>
          <w:rFonts w:ascii="David" w:hAnsi="David" w:cs="David"/>
          <w:b/>
          <w:bCs/>
          <w:rtl/>
        </w:rPr>
        <w:t>לבוש</w:t>
      </w:r>
      <w:r w:rsidRPr="004A5DBA">
        <w:rPr>
          <w:rFonts w:ascii="David" w:hAnsi="David" w:cs="David"/>
          <w:rtl/>
        </w:rPr>
        <w:t xml:space="preserve"> חו"מ שלג, ח, גם במקרה זה יש להשלים את הפרטים שאין התייחסות אליהם בהסכם החדש, בהתאם להסכם הקודם, ולדעת ה</w:t>
      </w:r>
      <w:r w:rsidRPr="004A5DBA">
        <w:rPr>
          <w:rFonts w:ascii="David" w:hAnsi="David" w:cs="David"/>
          <w:b/>
          <w:bCs/>
          <w:rtl/>
        </w:rPr>
        <w:t>ש"ך</w:t>
      </w:r>
      <w:r w:rsidRPr="004A5DBA">
        <w:rPr>
          <w:rFonts w:ascii="David" w:hAnsi="David" w:cs="David"/>
          <w:rtl/>
        </w:rPr>
        <w:t xml:space="preserve"> חו"מ שלג, מב, בנסיבות אלה אין ללמוד מההסכם הקודם.</w:t>
      </w:r>
    </w:p>
    <w:p w:rsidR="00200C41" w:rsidRPr="004A5DBA" w:rsidRDefault="00200C41" w:rsidP="007B2B0A">
      <w:pPr>
        <w:pStyle w:val="a3"/>
        <w:rPr>
          <w:rFonts w:ascii="David" w:hAnsi="David" w:cs="David"/>
        </w:rPr>
      </w:pPr>
      <w:r w:rsidRPr="004A5DBA">
        <w:rPr>
          <w:rFonts w:ascii="David" w:hAnsi="David" w:cs="David"/>
          <w:rtl/>
        </w:rPr>
        <w:tab/>
        <w:t>כאשר הצדדים לא כרתו הסכם חדש, אלא המשיכו את ההתקשרות בשתיקה, נחלקו הפוסקים. יש שסברו שכל פרטי ההסכם הראשון חלים על ההתקשרות החדשה (</w:t>
      </w:r>
      <w:r w:rsidRPr="004A5DBA">
        <w:rPr>
          <w:rFonts w:ascii="David" w:hAnsi="David" w:cs="David"/>
          <w:b/>
          <w:bCs/>
          <w:rtl/>
        </w:rPr>
        <w:t>ט"ז</w:t>
      </w:r>
      <w:r w:rsidRPr="004A5DBA">
        <w:rPr>
          <w:rFonts w:ascii="David" w:hAnsi="David" w:cs="David"/>
          <w:rtl/>
        </w:rPr>
        <w:t xml:space="preserve"> חו"מ שלג, ח</w:t>
      </w:r>
      <w:r w:rsidRPr="004A5DBA">
        <w:rPr>
          <w:rFonts w:ascii="David" w:hAnsi="David" w:cs="David"/>
          <w:b/>
          <w:bCs/>
          <w:rtl/>
        </w:rPr>
        <w:t>; ש"ך</w:t>
      </w:r>
      <w:r w:rsidRPr="004A5DBA">
        <w:rPr>
          <w:rFonts w:ascii="David" w:hAnsi="David" w:cs="David"/>
          <w:rtl/>
        </w:rPr>
        <w:t xml:space="preserve"> חו"מ שלג, מד), ויש שסברו שאין הדבר כך (</w:t>
      </w:r>
      <w:r w:rsidRPr="004A5DBA">
        <w:rPr>
          <w:rFonts w:ascii="David" w:hAnsi="David" w:cs="David"/>
          <w:b/>
          <w:bCs/>
          <w:rtl/>
        </w:rPr>
        <w:t>רמ"א</w:t>
      </w:r>
      <w:r w:rsidRPr="004A5DBA">
        <w:rPr>
          <w:rFonts w:ascii="David" w:hAnsi="David" w:cs="David"/>
          <w:rtl/>
        </w:rPr>
        <w:t xml:space="preserve"> חו"מ שלג, ח; </w:t>
      </w:r>
      <w:r w:rsidRPr="004A5DBA">
        <w:rPr>
          <w:rFonts w:ascii="David" w:hAnsi="David" w:cs="David"/>
          <w:b/>
          <w:bCs/>
          <w:rtl/>
        </w:rPr>
        <w:t>מחנה אפרים</w:t>
      </w:r>
      <w:r w:rsidRPr="004A5DBA">
        <w:rPr>
          <w:rFonts w:ascii="David" w:hAnsi="David" w:cs="David"/>
          <w:rtl/>
        </w:rPr>
        <w:t xml:space="preserve"> שכירות, יא). </w:t>
      </w:r>
    </w:p>
  </w:footnote>
  <w:footnote w:id="4">
    <w:p w:rsidR="00200C41" w:rsidRPr="004A5DBA" w:rsidRDefault="00200C41" w:rsidP="003F06FA">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שלא, א-ב.</w:t>
      </w:r>
    </w:p>
  </w:footnote>
  <w:footnote w:id="5">
    <w:p w:rsidR="00200C41" w:rsidRPr="004A5DBA" w:rsidRDefault="00200C41" w:rsidP="00DE5D88">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שו"ת</w:t>
      </w:r>
      <w:r w:rsidRPr="004A5DBA">
        <w:rPr>
          <w:rFonts w:ascii="David" w:hAnsi="David" w:cs="David"/>
          <w:rtl/>
        </w:rPr>
        <w:t xml:space="preserve"> </w:t>
      </w:r>
      <w:r w:rsidRPr="004A5DBA">
        <w:rPr>
          <w:rFonts w:ascii="David" w:hAnsi="David" w:cs="David"/>
          <w:b/>
          <w:bCs/>
          <w:rtl/>
        </w:rPr>
        <w:t>באר שבע</w:t>
      </w:r>
      <w:r w:rsidRPr="004A5DBA">
        <w:rPr>
          <w:rFonts w:ascii="David" w:hAnsi="David" w:cs="David"/>
          <w:rtl/>
        </w:rPr>
        <w:t>, לט.</w:t>
      </w:r>
    </w:p>
  </w:footnote>
  <w:footnote w:id="6">
    <w:p w:rsidR="00200C41" w:rsidRPr="004A5DBA" w:rsidRDefault="00200C41" w:rsidP="007B2B0A">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ביאור הגר"א</w:t>
      </w:r>
      <w:r w:rsidRPr="004A5DBA">
        <w:rPr>
          <w:rFonts w:ascii="David" w:hAnsi="David" w:cs="David"/>
          <w:rtl/>
        </w:rPr>
        <w:t xml:space="preserve"> חו"מ עז, לד</w:t>
      </w:r>
      <w:r w:rsidRPr="004A5DBA">
        <w:rPr>
          <w:rFonts w:ascii="David" w:hAnsi="David" w:cs="David"/>
          <w:b/>
          <w:bCs/>
          <w:rtl/>
        </w:rPr>
        <w:t>; פסקי דין רבניים</w:t>
      </w:r>
      <w:r w:rsidRPr="004A5DBA">
        <w:rPr>
          <w:rFonts w:ascii="David" w:hAnsi="David" w:cs="David"/>
          <w:rtl/>
        </w:rPr>
        <w:t xml:space="preserve"> ט, עמ' 26. כאשר אחת הפרשנויות סבירה מעט יותר מהאחרות כתב ב</w:t>
      </w:r>
      <w:r w:rsidRPr="004A5DBA">
        <w:rPr>
          <w:rFonts w:ascii="David" w:hAnsi="David" w:cs="David"/>
          <w:b/>
          <w:bCs/>
          <w:rtl/>
        </w:rPr>
        <w:t>שו"ת</w:t>
      </w:r>
      <w:r w:rsidRPr="004A5DBA">
        <w:rPr>
          <w:rFonts w:ascii="David" w:hAnsi="David" w:cs="David"/>
          <w:rtl/>
        </w:rPr>
        <w:t xml:space="preserve"> </w:t>
      </w:r>
      <w:r w:rsidRPr="004A5DBA">
        <w:rPr>
          <w:rFonts w:ascii="David" w:hAnsi="David" w:cs="David"/>
          <w:b/>
          <w:bCs/>
          <w:rtl/>
        </w:rPr>
        <w:t>מהרי"ק</w:t>
      </w:r>
      <w:r w:rsidRPr="004A5DBA">
        <w:rPr>
          <w:rFonts w:ascii="David" w:hAnsi="David" w:cs="David"/>
          <w:rtl/>
        </w:rPr>
        <w:t>, ז, שאין להוציא ממון.</w:t>
      </w:r>
    </w:p>
  </w:footnote>
  <w:footnote w:id="7">
    <w:p w:rsidR="00200C41" w:rsidRPr="004A5DBA" w:rsidRDefault="00200C41" w:rsidP="00DE5D88">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 xml:space="preserve">נימוקי יוסף </w:t>
      </w:r>
      <w:r w:rsidRPr="004A5DBA">
        <w:rPr>
          <w:rFonts w:ascii="David" w:hAnsi="David" w:cs="David"/>
          <w:rtl/>
        </w:rPr>
        <w:t xml:space="preserve">בבא בתרא עט ע"א, בדפי הרי"ף; </w:t>
      </w:r>
      <w:r w:rsidRPr="004A5DBA">
        <w:rPr>
          <w:rFonts w:ascii="David" w:hAnsi="David" w:cs="David"/>
          <w:b/>
          <w:bCs/>
          <w:rtl/>
        </w:rPr>
        <w:t>רמב"ן</w:t>
      </w:r>
      <w:r w:rsidRPr="004A5DBA">
        <w:rPr>
          <w:rFonts w:ascii="David" w:hAnsi="David" w:cs="David"/>
          <w:rtl/>
        </w:rPr>
        <w:t xml:space="preserve"> בבא בתרא קעא ע"א, ד"ה שטר מאוחר.</w:t>
      </w:r>
    </w:p>
  </w:footnote>
  <w:footnote w:id="8">
    <w:p w:rsidR="00200C41" w:rsidRPr="004A5DBA" w:rsidRDefault="00200C41" w:rsidP="00D2489D">
      <w:pPr>
        <w:pStyle w:val="a3"/>
        <w:rPr>
          <w:rFonts w:ascii="David" w:hAnsi="David" w:cs="David"/>
        </w:rPr>
      </w:pPr>
      <w:r w:rsidRPr="004A5DBA">
        <w:rPr>
          <w:rStyle w:val="ac"/>
          <w:rFonts w:ascii="David" w:hAnsi="David" w:cs="David"/>
        </w:rPr>
        <w:footnoteRef/>
      </w:r>
      <w:r w:rsidRPr="004A5DBA">
        <w:rPr>
          <w:rFonts w:ascii="David" w:hAnsi="David" w:cs="David"/>
          <w:rtl/>
        </w:rPr>
        <w:t xml:space="preserve">  שולחן ערוך חו"מ רכה, ג: "והוא הדין לכל תנאי ממון, שאומדים דעת המתנה ואין כוללין באותו תנאי אלא דברים הידועים שבגללן היה התנאי והם שהיו בדעת המתנה בעת שהתנה". ולכן פסק שם שגם אם אדם קיבל על עצמו אחריות "לכל אונס" הכוונה לכל אונס מצוי בלבד ולא לאונס שלא על דעתם של הצדדים.</w:t>
      </w:r>
    </w:p>
  </w:footnote>
  <w:footnote w:id="9">
    <w:p w:rsidR="00200C41" w:rsidRPr="004A5DBA" w:rsidRDefault="00200C41" w:rsidP="004A5DBA">
      <w:pPr>
        <w:pStyle w:val="a3"/>
        <w:rPr>
          <w:rFonts w:ascii="David" w:hAnsi="David" w:cs="David"/>
        </w:rPr>
      </w:pPr>
      <w:r w:rsidRPr="004A5DBA">
        <w:rPr>
          <w:rStyle w:val="ac"/>
          <w:rFonts w:ascii="David" w:hAnsi="David" w:cs="David"/>
        </w:rPr>
        <w:footnoteRef/>
      </w:r>
      <w:r w:rsidRPr="004A5DBA">
        <w:rPr>
          <w:rFonts w:ascii="David" w:hAnsi="David" w:cs="David"/>
          <w:rtl/>
        </w:rPr>
        <w:t xml:space="preserve"> אין מקור בהלכה לכך שיש לפרש הסכם לרעת מי שניסח אותו. זאת, בניגוד לסעיף 25 (ב1) לחוק החוזים (חלק כללי)</w:t>
      </w:r>
      <w:r w:rsidR="004A5DBA">
        <w:rPr>
          <w:rFonts w:ascii="David" w:hAnsi="David" w:cs="David" w:hint="cs"/>
          <w:rtl/>
        </w:rPr>
        <w:t>.</w:t>
      </w:r>
    </w:p>
  </w:footnote>
  <w:footnote w:id="10">
    <w:p w:rsidR="00200C41" w:rsidRPr="004A5DBA" w:rsidRDefault="00200C41" w:rsidP="00BB4BDD">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רכ, ח.</w:t>
      </w:r>
    </w:p>
  </w:footnote>
  <w:footnote w:id="11">
    <w:p w:rsidR="00200C41" w:rsidRPr="004A5DBA" w:rsidRDefault="00200C41" w:rsidP="00BB4BDD">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רמ"א</w:t>
      </w:r>
      <w:r w:rsidRPr="004A5DBA">
        <w:rPr>
          <w:rFonts w:ascii="David" w:hAnsi="David" w:cs="David"/>
          <w:rtl/>
        </w:rPr>
        <w:t xml:space="preserve"> חו"מ רכ, ד.</w:t>
      </w:r>
    </w:p>
  </w:footnote>
  <w:footnote w:id="12">
    <w:p w:rsidR="00200C41" w:rsidRPr="004A5DBA" w:rsidRDefault="00200C41" w:rsidP="00A77567">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רמ"א</w:t>
      </w:r>
      <w:r w:rsidRPr="004A5DBA">
        <w:rPr>
          <w:rFonts w:ascii="David" w:hAnsi="David" w:cs="David"/>
          <w:rtl/>
        </w:rPr>
        <w:t xml:space="preserve"> חו"מ רנג, כה; </w:t>
      </w:r>
      <w:r w:rsidRPr="004A5DBA">
        <w:rPr>
          <w:rFonts w:ascii="David" w:hAnsi="David" w:cs="David"/>
          <w:b/>
          <w:bCs/>
          <w:rtl/>
        </w:rPr>
        <w:t>סמ"ע</w:t>
      </w:r>
      <w:r w:rsidRPr="004A5DBA">
        <w:rPr>
          <w:rFonts w:ascii="David" w:hAnsi="David" w:cs="David"/>
          <w:rtl/>
        </w:rPr>
        <w:t xml:space="preserve"> רלב, ס; </w:t>
      </w:r>
      <w:r w:rsidRPr="004A5DBA">
        <w:rPr>
          <w:rFonts w:ascii="David" w:hAnsi="David" w:cs="David"/>
          <w:b/>
          <w:bCs/>
          <w:rtl/>
        </w:rPr>
        <w:t>נתיבות המשפט</w:t>
      </w:r>
      <w:r w:rsidRPr="004A5DBA">
        <w:rPr>
          <w:rFonts w:ascii="David" w:hAnsi="David" w:cs="David"/>
          <w:rtl/>
        </w:rPr>
        <w:t xml:space="preserve"> רלב, לו.</w:t>
      </w:r>
    </w:p>
  </w:footnote>
  <w:footnote w:id="13">
    <w:p w:rsidR="00200C41" w:rsidRPr="004A5DBA" w:rsidRDefault="00200C41">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שו"ת שואל ומשיב</w:t>
      </w:r>
      <w:r w:rsidRPr="004A5DBA">
        <w:rPr>
          <w:rFonts w:ascii="David" w:hAnsi="David" w:cs="David"/>
          <w:rtl/>
        </w:rPr>
        <w:t xml:space="preserve"> רביעאה, ב, רכב.</w:t>
      </w:r>
    </w:p>
  </w:footnote>
  <w:footnote w:id="14">
    <w:p w:rsidR="00200C41" w:rsidRPr="004A5DBA" w:rsidRDefault="00200C41">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שו"ת פני משה</w:t>
      </w:r>
      <w:r w:rsidRPr="004A5DBA">
        <w:rPr>
          <w:rFonts w:ascii="David" w:hAnsi="David" w:cs="David"/>
          <w:rtl/>
        </w:rPr>
        <w:t xml:space="preserve"> (בנבנישתי) ב, נה.</w:t>
      </w:r>
    </w:p>
  </w:footnote>
  <w:footnote w:id="15">
    <w:p w:rsidR="00200C41" w:rsidRPr="004A5DBA" w:rsidRDefault="00200C41">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קצות החושן</w:t>
      </w:r>
      <w:r w:rsidRPr="004A5DBA">
        <w:rPr>
          <w:rFonts w:ascii="David" w:hAnsi="David" w:cs="David"/>
          <w:rtl/>
        </w:rPr>
        <w:t xml:space="preserve"> שיב, ב.</w:t>
      </w:r>
    </w:p>
  </w:footnote>
  <w:footnote w:id="16">
    <w:p w:rsidR="00200C41" w:rsidRPr="004A5DBA" w:rsidRDefault="00200C41" w:rsidP="00DE5D88">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מב, ה. נחלקו אחרונים אם מפרשים אפילו באופן דחוק כדי ליישב את הסתירה (</w:t>
      </w:r>
      <w:r w:rsidRPr="004A5DBA">
        <w:rPr>
          <w:rFonts w:ascii="David" w:hAnsi="David" w:cs="David"/>
          <w:b/>
          <w:bCs/>
          <w:rtl/>
        </w:rPr>
        <w:t>סמ"ע</w:t>
      </w:r>
      <w:r w:rsidRPr="004A5DBA">
        <w:rPr>
          <w:rFonts w:ascii="David" w:hAnsi="David" w:cs="David"/>
          <w:rtl/>
        </w:rPr>
        <w:t xml:space="preserve"> מב, י), או שמא לא (</w:t>
      </w:r>
      <w:r w:rsidRPr="004A5DBA">
        <w:rPr>
          <w:rFonts w:ascii="David" w:hAnsi="David" w:cs="David"/>
          <w:b/>
          <w:bCs/>
          <w:rtl/>
        </w:rPr>
        <w:t>דרכי משה</w:t>
      </w:r>
      <w:r w:rsidRPr="004A5DBA">
        <w:rPr>
          <w:rFonts w:ascii="David" w:hAnsi="David" w:cs="David"/>
          <w:rtl/>
        </w:rPr>
        <w:t xml:space="preserve"> חו"מ מב, ח).</w:t>
      </w:r>
    </w:p>
  </w:footnote>
  <w:footnote w:id="17">
    <w:p w:rsidR="00200C41" w:rsidRPr="004A5DBA" w:rsidRDefault="00200C41" w:rsidP="008B3DBF">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מב, ה. </w:t>
      </w:r>
    </w:p>
  </w:footnote>
  <w:footnote w:id="18">
    <w:p w:rsidR="00200C41" w:rsidRPr="004A5DBA" w:rsidRDefault="00200C41" w:rsidP="00DE5D88">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מב, ה; </w:t>
      </w:r>
      <w:r w:rsidRPr="004A5DBA">
        <w:rPr>
          <w:rFonts w:ascii="David" w:hAnsi="David" w:cs="David"/>
          <w:b/>
          <w:bCs/>
          <w:rtl/>
        </w:rPr>
        <w:t>חשוקי חמד</w:t>
      </w:r>
      <w:r w:rsidRPr="004A5DBA">
        <w:rPr>
          <w:rFonts w:ascii="David" w:hAnsi="David" w:cs="David"/>
          <w:rtl/>
        </w:rPr>
        <w:t xml:space="preserve"> בבא בתרא קסה ע"ב, ד"ה זוזין מאה.</w:t>
      </w:r>
    </w:p>
  </w:footnote>
  <w:footnote w:id="19">
    <w:p w:rsidR="00200C41" w:rsidRPr="004A5DBA" w:rsidRDefault="00200C41" w:rsidP="00CD55FF">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מב, ה. </w:t>
      </w:r>
    </w:p>
  </w:footnote>
  <w:footnote w:id="20">
    <w:p w:rsidR="00200C41" w:rsidRPr="004A5DBA" w:rsidRDefault="00200C41" w:rsidP="00DC1708">
      <w:pPr>
        <w:pStyle w:val="a3"/>
        <w:rPr>
          <w:rFonts w:ascii="David" w:hAnsi="David" w:cs="David"/>
        </w:rPr>
      </w:pPr>
      <w:r w:rsidRPr="004A5DBA">
        <w:rPr>
          <w:rStyle w:val="ac"/>
          <w:rFonts w:ascii="David" w:hAnsi="David" w:cs="David"/>
        </w:rPr>
        <w:footnoteRef/>
      </w:r>
      <w:r w:rsidRPr="004A5DBA">
        <w:rPr>
          <w:rFonts w:ascii="David" w:hAnsi="David" w:cs="David"/>
          <w:rtl/>
        </w:rPr>
        <w:t xml:space="preserve"> </w:t>
      </w:r>
      <w:r w:rsidRPr="004A5DBA">
        <w:rPr>
          <w:rFonts w:ascii="David" w:hAnsi="David" w:cs="David"/>
          <w:b/>
          <w:bCs/>
          <w:rtl/>
        </w:rPr>
        <w:t>שולחן ערוך</w:t>
      </w:r>
      <w:r w:rsidRPr="004A5DBA">
        <w:rPr>
          <w:rFonts w:ascii="David" w:hAnsi="David" w:cs="David"/>
          <w:rtl/>
        </w:rPr>
        <w:t xml:space="preserve"> חו"מ מב, ה. נחלקו פוסקים מה הדין כשיש ספק בפרשנותה של קבלה על עסקה (שובר). יש אומרים  שמכיוון שבעל הקבלה הוא המוחזק, ידו על העליונה (</w:t>
      </w:r>
      <w:r w:rsidRPr="004A5DBA">
        <w:rPr>
          <w:rFonts w:ascii="David" w:hAnsi="David" w:cs="David"/>
          <w:b/>
          <w:bCs/>
          <w:rtl/>
        </w:rPr>
        <w:t>רמ"א</w:t>
      </w:r>
      <w:r w:rsidRPr="004A5DBA">
        <w:rPr>
          <w:rFonts w:ascii="David" w:hAnsi="David" w:cs="David"/>
          <w:rtl/>
        </w:rPr>
        <w:t xml:space="preserve"> חו"מ מב, ח). ויש אומרים שגם בפרשנותה של קבלה, יד בעל השטר על התחתונה, ואין בכוח קבלה שיש בה ספק כדי לגבור על השטר הברור (</w:t>
      </w:r>
      <w:r w:rsidRPr="004A5DBA">
        <w:rPr>
          <w:rFonts w:ascii="David" w:hAnsi="David" w:cs="David"/>
          <w:b/>
          <w:bCs/>
          <w:rtl/>
        </w:rPr>
        <w:t>סמ"ע</w:t>
      </w:r>
      <w:r w:rsidRPr="004A5DBA">
        <w:rPr>
          <w:rFonts w:ascii="David" w:hAnsi="David" w:cs="David"/>
          <w:rtl/>
        </w:rPr>
        <w:t xml:space="preserve"> חו"מ מב, כג). כמו כן, יש מחלוקת בשאלה, האם יש לפרש שטר שנכתב בו "דלא כטופסי דשטרי" לטובת בעל השטר, כי יד בעל השטר על העליונה (</w:t>
      </w:r>
      <w:r w:rsidRPr="004A5DBA">
        <w:rPr>
          <w:rFonts w:ascii="David" w:hAnsi="David" w:cs="David"/>
          <w:b/>
          <w:bCs/>
          <w:rtl/>
        </w:rPr>
        <w:t>שולחן ערוך</w:t>
      </w:r>
      <w:r w:rsidRPr="004A5DBA">
        <w:rPr>
          <w:rFonts w:ascii="David" w:hAnsi="David" w:cs="David"/>
          <w:rtl/>
        </w:rPr>
        <w:t xml:space="preserve"> חו"מ מב, י), או שמא גם כאן הכלל הוא "יד בעל השטר על התחתונה" (</w:t>
      </w:r>
      <w:r w:rsidRPr="004A5DBA">
        <w:rPr>
          <w:rFonts w:ascii="David" w:hAnsi="David" w:cs="David"/>
          <w:b/>
          <w:bCs/>
          <w:rtl/>
        </w:rPr>
        <w:t>ערוך השולחן</w:t>
      </w:r>
      <w:r w:rsidRPr="004A5DBA">
        <w:rPr>
          <w:rFonts w:ascii="David" w:hAnsi="David" w:cs="David"/>
          <w:rtl/>
        </w:rPr>
        <w:t xml:space="preserve"> חו"מ מב, יג).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905"/>
    <w:multiLevelType w:val="hybridMultilevel"/>
    <w:tmpl w:val="632E335E"/>
    <w:lvl w:ilvl="0" w:tplc="176274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D941150"/>
    <w:multiLevelType w:val="hybridMultilevel"/>
    <w:tmpl w:val="C734A4B6"/>
    <w:lvl w:ilvl="0" w:tplc="D94004A0">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035484E"/>
    <w:multiLevelType w:val="hybridMultilevel"/>
    <w:tmpl w:val="C734A4B6"/>
    <w:lvl w:ilvl="0" w:tplc="D94004A0">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2B81608"/>
    <w:multiLevelType w:val="hybridMultilevel"/>
    <w:tmpl w:val="D9B24470"/>
    <w:lvl w:ilvl="0" w:tplc="BDC6D40E">
      <w:start w:val="1"/>
      <w:numFmt w:val="hebrew1"/>
      <w:lvlText w:val="%1."/>
      <w:lvlJc w:val="left"/>
      <w:pPr>
        <w:ind w:left="1095" w:hanging="375"/>
      </w:pPr>
      <w:rPr>
        <w:rFonts w:cs="Times New Roman" w:hint="default"/>
        <w:sz w:val="2"/>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A495BF7"/>
    <w:multiLevelType w:val="hybridMultilevel"/>
    <w:tmpl w:val="B574AE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D695F40"/>
    <w:multiLevelType w:val="hybridMultilevel"/>
    <w:tmpl w:val="0C9297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7327C8"/>
    <w:multiLevelType w:val="hybridMultilevel"/>
    <w:tmpl w:val="84C06234"/>
    <w:lvl w:ilvl="0" w:tplc="D40200FE">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134700"/>
    <w:multiLevelType w:val="hybridMultilevel"/>
    <w:tmpl w:val="632E335E"/>
    <w:lvl w:ilvl="0" w:tplc="176274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6754BEA"/>
    <w:multiLevelType w:val="hybridMultilevel"/>
    <w:tmpl w:val="632E335E"/>
    <w:lvl w:ilvl="0" w:tplc="176274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C311A57"/>
    <w:multiLevelType w:val="hybridMultilevel"/>
    <w:tmpl w:val="BEC03FC0"/>
    <w:lvl w:ilvl="0" w:tplc="83444440">
      <w:start w:val="1"/>
      <w:numFmt w:val="hebrew1"/>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8C81CBE"/>
    <w:multiLevelType w:val="hybridMultilevel"/>
    <w:tmpl w:val="9B58F198"/>
    <w:lvl w:ilvl="0" w:tplc="FC86241E">
      <w:start w:val="1"/>
      <w:numFmt w:val="decimal"/>
      <w:lvlText w:val="%1."/>
      <w:lvlJc w:val="left"/>
      <w:pPr>
        <w:ind w:left="720" w:hanging="360"/>
      </w:pPr>
      <w:rPr>
        <w:rFonts w:ascii="Calibri" w:eastAsia="Times New Roman" w:hAnsi="Calibri" w:cs="Davi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2015F2B"/>
    <w:multiLevelType w:val="hybridMultilevel"/>
    <w:tmpl w:val="9DC40C28"/>
    <w:lvl w:ilvl="0" w:tplc="C3A079F4">
      <w:start w:val="1"/>
      <w:numFmt w:val="decimal"/>
      <w:pStyle w:val="3"/>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B9B389D"/>
    <w:multiLevelType w:val="hybridMultilevel"/>
    <w:tmpl w:val="632E335E"/>
    <w:lvl w:ilvl="0" w:tplc="176274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0"/>
  </w:num>
  <w:num w:numId="3">
    <w:abstractNumId w:val="5"/>
  </w:num>
  <w:num w:numId="4">
    <w:abstractNumId w:val="3"/>
  </w:num>
  <w:num w:numId="5">
    <w:abstractNumId w:val="4"/>
  </w:num>
  <w:num w:numId="6">
    <w:abstractNumId w:val="0"/>
  </w:num>
  <w:num w:numId="7">
    <w:abstractNumId w:val="12"/>
  </w:num>
  <w:num w:numId="8">
    <w:abstractNumId w:val="7"/>
  </w:num>
  <w:num w:numId="9">
    <w:abstractNumId w:val="11"/>
  </w:num>
  <w:num w:numId="10">
    <w:abstractNumId w:val="9"/>
  </w:num>
  <w:num w:numId="11">
    <w:abstractNumId w:val="6"/>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F8C"/>
    <w:rsid w:val="00006D0F"/>
    <w:rsid w:val="0001289A"/>
    <w:rsid w:val="0001655B"/>
    <w:rsid w:val="00050FB1"/>
    <w:rsid w:val="00077D9C"/>
    <w:rsid w:val="000A4B81"/>
    <w:rsid w:val="000B438D"/>
    <w:rsid w:val="000C7909"/>
    <w:rsid w:val="000D77B4"/>
    <w:rsid w:val="000F763D"/>
    <w:rsid w:val="0010423B"/>
    <w:rsid w:val="0011093C"/>
    <w:rsid w:val="001A09C1"/>
    <w:rsid w:val="001E6F50"/>
    <w:rsid w:val="00200C41"/>
    <w:rsid w:val="00225745"/>
    <w:rsid w:val="00234944"/>
    <w:rsid w:val="002548AA"/>
    <w:rsid w:val="00274531"/>
    <w:rsid w:val="002834B9"/>
    <w:rsid w:val="00297785"/>
    <w:rsid w:val="002B1747"/>
    <w:rsid w:val="002C3327"/>
    <w:rsid w:val="002D3036"/>
    <w:rsid w:val="002D3997"/>
    <w:rsid w:val="002F0368"/>
    <w:rsid w:val="00315B7C"/>
    <w:rsid w:val="00353E6D"/>
    <w:rsid w:val="0037056C"/>
    <w:rsid w:val="00387259"/>
    <w:rsid w:val="003C4B0E"/>
    <w:rsid w:val="003F06FA"/>
    <w:rsid w:val="003F5B0C"/>
    <w:rsid w:val="00437174"/>
    <w:rsid w:val="00445EF6"/>
    <w:rsid w:val="00447B2F"/>
    <w:rsid w:val="0049381C"/>
    <w:rsid w:val="004A5DBA"/>
    <w:rsid w:val="004B1B66"/>
    <w:rsid w:val="005142B5"/>
    <w:rsid w:val="00550AAC"/>
    <w:rsid w:val="00586B77"/>
    <w:rsid w:val="005C1732"/>
    <w:rsid w:val="006122BC"/>
    <w:rsid w:val="006368E5"/>
    <w:rsid w:val="00644E5C"/>
    <w:rsid w:val="00670B57"/>
    <w:rsid w:val="0067161E"/>
    <w:rsid w:val="006A40B5"/>
    <w:rsid w:val="006B24F4"/>
    <w:rsid w:val="006C19D4"/>
    <w:rsid w:val="006C681D"/>
    <w:rsid w:val="006D1804"/>
    <w:rsid w:val="006F33E0"/>
    <w:rsid w:val="00705B69"/>
    <w:rsid w:val="0070711B"/>
    <w:rsid w:val="00743AFE"/>
    <w:rsid w:val="00752FF8"/>
    <w:rsid w:val="007A090B"/>
    <w:rsid w:val="007A1333"/>
    <w:rsid w:val="007A27CB"/>
    <w:rsid w:val="007B2B0A"/>
    <w:rsid w:val="007B4B41"/>
    <w:rsid w:val="007E61B1"/>
    <w:rsid w:val="007F2934"/>
    <w:rsid w:val="007F6D6D"/>
    <w:rsid w:val="00813754"/>
    <w:rsid w:val="0081488A"/>
    <w:rsid w:val="008175BB"/>
    <w:rsid w:val="00833557"/>
    <w:rsid w:val="00834884"/>
    <w:rsid w:val="00862902"/>
    <w:rsid w:val="00864BBD"/>
    <w:rsid w:val="008A0452"/>
    <w:rsid w:val="008A07ED"/>
    <w:rsid w:val="008B3DBF"/>
    <w:rsid w:val="008D6546"/>
    <w:rsid w:val="008E7705"/>
    <w:rsid w:val="00916737"/>
    <w:rsid w:val="00930134"/>
    <w:rsid w:val="00931461"/>
    <w:rsid w:val="00937833"/>
    <w:rsid w:val="00950F0E"/>
    <w:rsid w:val="00962AE4"/>
    <w:rsid w:val="009B5FEF"/>
    <w:rsid w:val="009E5576"/>
    <w:rsid w:val="009F3FC5"/>
    <w:rsid w:val="00A04518"/>
    <w:rsid w:val="00A162F3"/>
    <w:rsid w:val="00A71C2D"/>
    <w:rsid w:val="00A77567"/>
    <w:rsid w:val="00A93F36"/>
    <w:rsid w:val="00AD0770"/>
    <w:rsid w:val="00AD6222"/>
    <w:rsid w:val="00AE040B"/>
    <w:rsid w:val="00AE635F"/>
    <w:rsid w:val="00AF1751"/>
    <w:rsid w:val="00AF1815"/>
    <w:rsid w:val="00B57D6B"/>
    <w:rsid w:val="00B61AD7"/>
    <w:rsid w:val="00B629F4"/>
    <w:rsid w:val="00B662E9"/>
    <w:rsid w:val="00B7176A"/>
    <w:rsid w:val="00B73A8C"/>
    <w:rsid w:val="00B82912"/>
    <w:rsid w:val="00B936EB"/>
    <w:rsid w:val="00B95CBA"/>
    <w:rsid w:val="00BA3722"/>
    <w:rsid w:val="00BB4BDD"/>
    <w:rsid w:val="00BC02A2"/>
    <w:rsid w:val="00BF6089"/>
    <w:rsid w:val="00C04639"/>
    <w:rsid w:val="00C201AE"/>
    <w:rsid w:val="00C63246"/>
    <w:rsid w:val="00CD55FF"/>
    <w:rsid w:val="00CF4D75"/>
    <w:rsid w:val="00CF677B"/>
    <w:rsid w:val="00D1118A"/>
    <w:rsid w:val="00D2489D"/>
    <w:rsid w:val="00D30F8C"/>
    <w:rsid w:val="00D964BB"/>
    <w:rsid w:val="00DA3282"/>
    <w:rsid w:val="00DC1708"/>
    <w:rsid w:val="00DD48AD"/>
    <w:rsid w:val="00DE5D88"/>
    <w:rsid w:val="00DF180C"/>
    <w:rsid w:val="00E2468D"/>
    <w:rsid w:val="00E26D3C"/>
    <w:rsid w:val="00E31FC0"/>
    <w:rsid w:val="00E37865"/>
    <w:rsid w:val="00E37A7D"/>
    <w:rsid w:val="00E640D0"/>
    <w:rsid w:val="00E64ACD"/>
    <w:rsid w:val="00E802D9"/>
    <w:rsid w:val="00E833FF"/>
    <w:rsid w:val="00ED3252"/>
    <w:rsid w:val="00EF02A0"/>
    <w:rsid w:val="00F169B6"/>
    <w:rsid w:val="00F32AA8"/>
    <w:rsid w:val="00F369C9"/>
    <w:rsid w:val="00F55752"/>
    <w:rsid w:val="00F64048"/>
    <w:rsid w:val="00F64D12"/>
    <w:rsid w:val="00F80224"/>
    <w:rsid w:val="00F86B81"/>
    <w:rsid w:val="00F87617"/>
    <w:rsid w:val="00FC11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C7909"/>
    <w:pPr>
      <w:bidi/>
      <w:spacing w:before="120" w:line="360" w:lineRule="auto"/>
      <w:jc w:val="both"/>
    </w:pPr>
    <w:rPr>
      <w:rFonts w:ascii="Times New Roman" w:hAnsi="Times New Roman" w:cs="David"/>
      <w:sz w:val="22"/>
      <w:szCs w:val="24"/>
    </w:rPr>
  </w:style>
  <w:style w:type="paragraph" w:styleId="1">
    <w:name w:val="heading 1"/>
    <w:basedOn w:val="a"/>
    <w:next w:val="a"/>
    <w:link w:val="10"/>
    <w:uiPriority w:val="99"/>
    <w:qFormat/>
    <w:rsid w:val="00862902"/>
    <w:pPr>
      <w:keepNext/>
      <w:keepLines/>
      <w:spacing w:before="480"/>
      <w:jc w:val="center"/>
      <w:outlineLvl w:val="0"/>
    </w:pPr>
    <w:rPr>
      <w:rFonts w:ascii="Cambria" w:hAnsi="Cambria"/>
      <w:b/>
      <w:bCs/>
      <w:color w:val="4F81BD"/>
      <w:sz w:val="28"/>
      <w:szCs w:val="28"/>
    </w:rPr>
  </w:style>
  <w:style w:type="paragraph" w:styleId="2">
    <w:name w:val="heading 2"/>
    <w:basedOn w:val="a"/>
    <w:next w:val="a"/>
    <w:link w:val="20"/>
    <w:uiPriority w:val="99"/>
    <w:qFormat/>
    <w:rsid w:val="0086290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862902"/>
    <w:pPr>
      <w:keepNext/>
      <w:keepLines/>
      <w:numPr>
        <w:numId w:val="9"/>
      </w:numPr>
      <w:bidi w:val="0"/>
      <w:spacing w:before="200"/>
      <w:outlineLvl w:val="2"/>
    </w:pPr>
    <w:rPr>
      <w:rFonts w:ascii="Cambria" w:hAnsi="Cambria" w:cs="Arial"/>
      <w:b/>
      <w:bCs/>
      <w:color w:val="4F81BD"/>
      <w:sz w:val="20"/>
      <w:szCs w:val="20"/>
    </w:rPr>
  </w:style>
  <w:style w:type="paragraph" w:styleId="4">
    <w:name w:val="heading 4"/>
    <w:basedOn w:val="a"/>
    <w:next w:val="a"/>
    <w:link w:val="40"/>
    <w:uiPriority w:val="99"/>
    <w:qFormat/>
    <w:rsid w:val="008A0452"/>
    <w:pPr>
      <w:keepNext/>
      <w:keepLines/>
      <w:bidi w:val="0"/>
      <w:spacing w:before="200"/>
      <w:outlineLvl w:val="3"/>
    </w:pPr>
    <w:rPr>
      <w:rFonts w:ascii="Cambria" w:hAnsi="Cambria" w:cs="Times New Roman"/>
      <w:b/>
      <w:bCs/>
      <w:i/>
      <w:iCs/>
      <w:color w:val="2DA2BF"/>
      <w:sz w:val="20"/>
      <w:szCs w:val="20"/>
    </w:rPr>
  </w:style>
  <w:style w:type="paragraph" w:styleId="5">
    <w:name w:val="heading 5"/>
    <w:basedOn w:val="a"/>
    <w:next w:val="a"/>
    <w:link w:val="50"/>
    <w:uiPriority w:val="99"/>
    <w:qFormat/>
    <w:rsid w:val="008A0452"/>
    <w:pPr>
      <w:keepNext/>
      <w:keepLines/>
      <w:bidi w:val="0"/>
      <w:spacing w:before="200"/>
      <w:outlineLvl w:val="4"/>
    </w:pPr>
    <w:rPr>
      <w:rFonts w:ascii="Cambria" w:hAnsi="Cambria" w:cs="Times New Roman"/>
      <w:color w:val="16505E"/>
      <w:sz w:val="20"/>
      <w:szCs w:val="20"/>
    </w:rPr>
  </w:style>
  <w:style w:type="paragraph" w:styleId="6">
    <w:name w:val="heading 6"/>
    <w:basedOn w:val="a"/>
    <w:next w:val="a"/>
    <w:link w:val="60"/>
    <w:uiPriority w:val="99"/>
    <w:qFormat/>
    <w:rsid w:val="008A0452"/>
    <w:pPr>
      <w:keepNext/>
      <w:keepLines/>
      <w:bidi w:val="0"/>
      <w:spacing w:before="200"/>
      <w:outlineLvl w:val="5"/>
    </w:pPr>
    <w:rPr>
      <w:rFonts w:ascii="Cambria" w:hAnsi="Cambria" w:cs="Times New Roman"/>
      <w:i/>
      <w:iCs/>
      <w:color w:val="16505E"/>
      <w:sz w:val="20"/>
      <w:szCs w:val="20"/>
    </w:rPr>
  </w:style>
  <w:style w:type="paragraph" w:styleId="7">
    <w:name w:val="heading 7"/>
    <w:basedOn w:val="a"/>
    <w:next w:val="a"/>
    <w:link w:val="70"/>
    <w:uiPriority w:val="99"/>
    <w:qFormat/>
    <w:rsid w:val="008A0452"/>
    <w:pPr>
      <w:keepNext/>
      <w:keepLines/>
      <w:bidi w:val="0"/>
      <w:spacing w:before="200"/>
      <w:outlineLvl w:val="6"/>
    </w:pPr>
    <w:rPr>
      <w:rFonts w:ascii="Cambria" w:hAnsi="Cambria" w:cs="Times New Roman"/>
      <w:i/>
      <w:iCs/>
      <w:color w:val="404040"/>
      <w:sz w:val="20"/>
      <w:szCs w:val="20"/>
    </w:rPr>
  </w:style>
  <w:style w:type="paragraph" w:styleId="8">
    <w:name w:val="heading 8"/>
    <w:basedOn w:val="a"/>
    <w:next w:val="a"/>
    <w:link w:val="80"/>
    <w:uiPriority w:val="99"/>
    <w:qFormat/>
    <w:rsid w:val="008A0452"/>
    <w:pPr>
      <w:keepNext/>
      <w:keepLines/>
      <w:bidi w:val="0"/>
      <w:spacing w:before="200"/>
      <w:outlineLvl w:val="7"/>
    </w:pPr>
    <w:rPr>
      <w:rFonts w:ascii="Cambria" w:hAnsi="Cambria" w:cs="Times New Roman"/>
      <w:color w:val="2DA2BF"/>
      <w:sz w:val="20"/>
      <w:szCs w:val="20"/>
    </w:rPr>
  </w:style>
  <w:style w:type="paragraph" w:styleId="9">
    <w:name w:val="heading 9"/>
    <w:basedOn w:val="a"/>
    <w:next w:val="a"/>
    <w:link w:val="90"/>
    <w:uiPriority w:val="99"/>
    <w:qFormat/>
    <w:rsid w:val="008A0452"/>
    <w:pPr>
      <w:keepNext/>
      <w:keepLines/>
      <w:bidi w:val="0"/>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862902"/>
    <w:rPr>
      <w:rFonts w:ascii="Cambria" w:hAnsi="Cambria" w:cs="David"/>
      <w:b/>
      <w:bCs/>
      <w:color w:val="4F81BD"/>
      <w:sz w:val="28"/>
      <w:szCs w:val="28"/>
    </w:rPr>
  </w:style>
  <w:style w:type="character" w:customStyle="1" w:styleId="20">
    <w:name w:val="כותרת 2 תו"/>
    <w:link w:val="2"/>
    <w:uiPriority w:val="99"/>
    <w:locked/>
    <w:rsid w:val="00862902"/>
    <w:rPr>
      <w:rFonts w:ascii="Cambria" w:hAnsi="Cambria" w:cs="David"/>
      <w:b/>
      <w:bCs/>
      <w:color w:val="4F81BD"/>
      <w:sz w:val="26"/>
      <w:szCs w:val="26"/>
    </w:rPr>
  </w:style>
  <w:style w:type="character" w:customStyle="1" w:styleId="30">
    <w:name w:val="כותרת 3 תו"/>
    <w:link w:val="3"/>
    <w:uiPriority w:val="99"/>
    <w:locked/>
    <w:rsid w:val="00862902"/>
    <w:rPr>
      <w:rFonts w:ascii="Cambria" w:hAnsi="Cambria" w:cs="Arial"/>
      <w:b/>
      <w:bCs/>
      <w:color w:val="4F81BD"/>
      <w:sz w:val="20"/>
      <w:szCs w:val="20"/>
    </w:rPr>
  </w:style>
  <w:style w:type="character" w:customStyle="1" w:styleId="40">
    <w:name w:val="כותרת 4 תו"/>
    <w:link w:val="4"/>
    <w:uiPriority w:val="99"/>
    <w:semiHidden/>
    <w:locked/>
    <w:rsid w:val="008A0452"/>
    <w:rPr>
      <w:rFonts w:ascii="Cambria" w:hAnsi="Cambria" w:cs="Times New Roman"/>
      <w:b/>
      <w:i/>
      <w:color w:val="2DA2BF"/>
    </w:rPr>
  </w:style>
  <w:style w:type="character" w:customStyle="1" w:styleId="50">
    <w:name w:val="כותרת 5 תו"/>
    <w:link w:val="5"/>
    <w:uiPriority w:val="99"/>
    <w:semiHidden/>
    <w:locked/>
    <w:rsid w:val="008A0452"/>
    <w:rPr>
      <w:rFonts w:ascii="Cambria" w:hAnsi="Cambria" w:cs="Times New Roman"/>
      <w:color w:val="16505E"/>
    </w:rPr>
  </w:style>
  <w:style w:type="character" w:customStyle="1" w:styleId="60">
    <w:name w:val="כותרת 6 תו"/>
    <w:link w:val="6"/>
    <w:uiPriority w:val="99"/>
    <w:semiHidden/>
    <w:locked/>
    <w:rsid w:val="008A0452"/>
    <w:rPr>
      <w:rFonts w:ascii="Cambria" w:hAnsi="Cambria" w:cs="Times New Roman"/>
      <w:i/>
      <w:color w:val="16505E"/>
    </w:rPr>
  </w:style>
  <w:style w:type="character" w:customStyle="1" w:styleId="70">
    <w:name w:val="כותרת 7 תו"/>
    <w:link w:val="7"/>
    <w:uiPriority w:val="99"/>
    <w:semiHidden/>
    <w:locked/>
    <w:rsid w:val="008A0452"/>
    <w:rPr>
      <w:rFonts w:ascii="Cambria" w:hAnsi="Cambria" w:cs="Times New Roman"/>
      <w:i/>
      <w:color w:val="404040"/>
    </w:rPr>
  </w:style>
  <w:style w:type="character" w:customStyle="1" w:styleId="80">
    <w:name w:val="כותרת 8 תו"/>
    <w:link w:val="8"/>
    <w:uiPriority w:val="99"/>
    <w:semiHidden/>
    <w:locked/>
    <w:rsid w:val="008A0452"/>
    <w:rPr>
      <w:rFonts w:ascii="Cambria" w:hAnsi="Cambria" w:cs="Times New Roman"/>
      <w:color w:val="2DA2BF"/>
      <w:sz w:val="20"/>
    </w:rPr>
  </w:style>
  <w:style w:type="character" w:customStyle="1" w:styleId="90">
    <w:name w:val="כותרת 9 תו"/>
    <w:link w:val="9"/>
    <w:uiPriority w:val="99"/>
    <w:semiHidden/>
    <w:locked/>
    <w:rsid w:val="008A0452"/>
    <w:rPr>
      <w:rFonts w:ascii="Cambria" w:hAnsi="Cambria" w:cs="Times New Roman"/>
      <w:i/>
      <w:color w:val="404040"/>
      <w:sz w:val="20"/>
    </w:rPr>
  </w:style>
  <w:style w:type="paragraph" w:styleId="a3">
    <w:name w:val="footnote text"/>
    <w:basedOn w:val="a"/>
    <w:link w:val="a4"/>
    <w:uiPriority w:val="99"/>
    <w:semiHidden/>
    <w:rsid w:val="00E833FF"/>
    <w:pPr>
      <w:tabs>
        <w:tab w:val="left" w:pos="425"/>
      </w:tabs>
      <w:ind w:right="397" w:hanging="397"/>
    </w:pPr>
    <w:rPr>
      <w:rFonts w:cs="Times New Roman"/>
      <w:sz w:val="20"/>
      <w:szCs w:val="20"/>
      <w:lang w:eastAsia="he-IL"/>
    </w:rPr>
  </w:style>
  <w:style w:type="character" w:customStyle="1" w:styleId="a4">
    <w:name w:val="טקסט הערת שוליים תו"/>
    <w:link w:val="a3"/>
    <w:uiPriority w:val="99"/>
    <w:locked/>
    <w:rsid w:val="00E833FF"/>
    <w:rPr>
      <w:rFonts w:ascii="Times New Roman" w:hAnsi="Times New Roman" w:cs="Times New Roman"/>
      <w:sz w:val="20"/>
      <w:lang w:eastAsia="he-IL" w:bidi="he-IL"/>
    </w:rPr>
  </w:style>
  <w:style w:type="paragraph" w:styleId="a5">
    <w:name w:val="annotation text"/>
    <w:basedOn w:val="a"/>
    <w:link w:val="a6"/>
    <w:uiPriority w:val="99"/>
    <w:semiHidden/>
    <w:rsid w:val="008A0452"/>
    <w:rPr>
      <w:sz w:val="20"/>
      <w:szCs w:val="20"/>
    </w:rPr>
  </w:style>
  <w:style w:type="character" w:customStyle="1" w:styleId="a6">
    <w:name w:val="טקסט הערה תו"/>
    <w:link w:val="a5"/>
    <w:uiPriority w:val="99"/>
    <w:locked/>
    <w:rsid w:val="008A0452"/>
    <w:rPr>
      <w:rFonts w:eastAsia="Times New Roman" w:cs="Times New Roman"/>
      <w:sz w:val="20"/>
      <w:szCs w:val="20"/>
    </w:rPr>
  </w:style>
  <w:style w:type="paragraph" w:styleId="a7">
    <w:name w:val="header"/>
    <w:basedOn w:val="a"/>
    <w:link w:val="a8"/>
    <w:uiPriority w:val="99"/>
    <w:rsid w:val="008A0452"/>
    <w:pPr>
      <w:tabs>
        <w:tab w:val="center" w:pos="4153"/>
        <w:tab w:val="right" w:pos="8306"/>
      </w:tabs>
    </w:pPr>
  </w:style>
  <w:style w:type="character" w:customStyle="1" w:styleId="a8">
    <w:name w:val="כותרת עליונה תו"/>
    <w:link w:val="a7"/>
    <w:uiPriority w:val="99"/>
    <w:locked/>
    <w:rsid w:val="008A0452"/>
    <w:rPr>
      <w:rFonts w:eastAsia="Times New Roman" w:cs="Times New Roman"/>
    </w:rPr>
  </w:style>
  <w:style w:type="paragraph" w:styleId="a9">
    <w:name w:val="footer"/>
    <w:basedOn w:val="a"/>
    <w:link w:val="aa"/>
    <w:uiPriority w:val="99"/>
    <w:rsid w:val="008A0452"/>
    <w:pPr>
      <w:tabs>
        <w:tab w:val="center" w:pos="4153"/>
        <w:tab w:val="right" w:pos="8306"/>
      </w:tabs>
    </w:pPr>
    <w:rPr>
      <w:rFonts w:ascii="Calibri" w:hAnsi="Calibri" w:cs="Times New Roman"/>
      <w:sz w:val="20"/>
      <w:szCs w:val="20"/>
    </w:rPr>
  </w:style>
  <w:style w:type="character" w:customStyle="1" w:styleId="aa">
    <w:name w:val="כותרת תחתונה תו"/>
    <w:link w:val="a9"/>
    <w:uiPriority w:val="99"/>
    <w:locked/>
    <w:rsid w:val="008A0452"/>
    <w:rPr>
      <w:rFonts w:eastAsia="Times New Roman" w:cs="Times New Roman"/>
    </w:rPr>
  </w:style>
  <w:style w:type="paragraph" w:styleId="ab">
    <w:name w:val="caption"/>
    <w:basedOn w:val="a"/>
    <w:next w:val="a"/>
    <w:uiPriority w:val="99"/>
    <w:qFormat/>
    <w:rsid w:val="008A0452"/>
    <w:pPr>
      <w:bidi w:val="0"/>
      <w:spacing w:line="240" w:lineRule="auto"/>
    </w:pPr>
    <w:rPr>
      <w:b/>
      <w:bCs/>
      <w:color w:val="2DA2BF"/>
      <w:sz w:val="18"/>
      <w:szCs w:val="18"/>
    </w:rPr>
  </w:style>
  <w:style w:type="character" w:styleId="ac">
    <w:name w:val="footnote reference"/>
    <w:aliases w:val="אות הערה"/>
    <w:uiPriority w:val="99"/>
    <w:semiHidden/>
    <w:rsid w:val="008A0452"/>
    <w:rPr>
      <w:rFonts w:cs="Times New Roman"/>
      <w:position w:val="-4"/>
      <w:vertAlign w:val="superscript"/>
    </w:rPr>
  </w:style>
  <w:style w:type="character" w:styleId="ad">
    <w:name w:val="annotation reference"/>
    <w:uiPriority w:val="99"/>
    <w:semiHidden/>
    <w:rsid w:val="008A0452"/>
    <w:rPr>
      <w:rFonts w:cs="Times New Roman"/>
      <w:sz w:val="16"/>
    </w:rPr>
  </w:style>
  <w:style w:type="paragraph" w:styleId="ae">
    <w:name w:val="Title"/>
    <w:basedOn w:val="a"/>
    <w:next w:val="a"/>
    <w:link w:val="af"/>
    <w:uiPriority w:val="99"/>
    <w:qFormat/>
    <w:rsid w:val="008A0452"/>
    <w:pPr>
      <w:pBdr>
        <w:bottom w:val="single" w:sz="8" w:space="4" w:color="2DA2BF"/>
      </w:pBdr>
      <w:spacing w:after="300" w:line="240" w:lineRule="auto"/>
    </w:pPr>
    <w:rPr>
      <w:rFonts w:ascii="Cambria" w:hAnsi="Cambria" w:cs="Times New Roman"/>
      <w:color w:val="343434"/>
      <w:spacing w:val="5"/>
      <w:kern w:val="28"/>
      <w:sz w:val="52"/>
      <w:szCs w:val="52"/>
    </w:rPr>
  </w:style>
  <w:style w:type="character" w:customStyle="1" w:styleId="af">
    <w:name w:val="כותרת טקסט תו"/>
    <w:link w:val="ae"/>
    <w:uiPriority w:val="99"/>
    <w:locked/>
    <w:rsid w:val="008A0452"/>
    <w:rPr>
      <w:rFonts w:ascii="Cambria" w:hAnsi="Cambria" w:cs="Times New Roman"/>
      <w:color w:val="343434"/>
      <w:spacing w:val="5"/>
      <w:kern w:val="28"/>
      <w:sz w:val="52"/>
    </w:rPr>
  </w:style>
  <w:style w:type="paragraph" w:styleId="af0">
    <w:name w:val="Subtitle"/>
    <w:basedOn w:val="a"/>
    <w:next w:val="a"/>
    <w:link w:val="af1"/>
    <w:uiPriority w:val="99"/>
    <w:qFormat/>
    <w:rsid w:val="008A0452"/>
    <w:pPr>
      <w:numPr>
        <w:ilvl w:val="1"/>
      </w:numPr>
      <w:bidi w:val="0"/>
    </w:pPr>
    <w:rPr>
      <w:rFonts w:ascii="Cambria" w:hAnsi="Cambria" w:cs="Times New Roman"/>
      <w:i/>
      <w:iCs/>
      <w:color w:val="2DA2BF"/>
      <w:spacing w:val="15"/>
      <w:sz w:val="24"/>
    </w:rPr>
  </w:style>
  <w:style w:type="character" w:customStyle="1" w:styleId="af1">
    <w:name w:val="כותרת משנה תו"/>
    <w:link w:val="af0"/>
    <w:uiPriority w:val="99"/>
    <w:locked/>
    <w:rsid w:val="008A0452"/>
    <w:rPr>
      <w:rFonts w:ascii="Cambria" w:hAnsi="Cambria" w:cs="Times New Roman"/>
      <w:i/>
      <w:color w:val="2DA2BF"/>
      <w:spacing w:val="15"/>
      <w:sz w:val="24"/>
    </w:rPr>
  </w:style>
  <w:style w:type="character" w:styleId="Hyperlink">
    <w:name w:val="Hyperlink"/>
    <w:uiPriority w:val="99"/>
    <w:rsid w:val="008A0452"/>
    <w:rPr>
      <w:rFonts w:cs="Times New Roman"/>
      <w:color w:val="0000FF"/>
      <w:u w:val="single"/>
    </w:rPr>
  </w:style>
  <w:style w:type="character" w:styleId="af2">
    <w:name w:val="Strong"/>
    <w:uiPriority w:val="99"/>
    <w:qFormat/>
    <w:rsid w:val="008A0452"/>
    <w:rPr>
      <w:rFonts w:cs="Times New Roman"/>
      <w:b/>
    </w:rPr>
  </w:style>
  <w:style w:type="character" w:styleId="af3">
    <w:name w:val="Emphasis"/>
    <w:uiPriority w:val="99"/>
    <w:qFormat/>
    <w:rsid w:val="008A0452"/>
    <w:rPr>
      <w:rFonts w:cs="Times New Roman"/>
      <w:i/>
    </w:rPr>
  </w:style>
  <w:style w:type="paragraph" w:styleId="af4">
    <w:name w:val="annotation subject"/>
    <w:basedOn w:val="a5"/>
    <w:next w:val="a5"/>
    <w:link w:val="af5"/>
    <w:uiPriority w:val="99"/>
    <w:semiHidden/>
    <w:rsid w:val="008A0452"/>
    <w:rPr>
      <w:rFonts w:ascii="Calibri" w:hAnsi="Calibri" w:cs="Times New Roman"/>
      <w:b/>
      <w:bCs/>
    </w:rPr>
  </w:style>
  <w:style w:type="character" w:customStyle="1" w:styleId="af5">
    <w:name w:val="נושא הערה תו"/>
    <w:link w:val="af4"/>
    <w:uiPriority w:val="99"/>
    <w:locked/>
    <w:rsid w:val="008A0452"/>
    <w:rPr>
      <w:rFonts w:eastAsia="Times New Roman" w:cs="Times New Roman"/>
      <w:b/>
      <w:sz w:val="20"/>
      <w:szCs w:val="20"/>
    </w:rPr>
  </w:style>
  <w:style w:type="paragraph" w:styleId="af6">
    <w:name w:val="Balloon Text"/>
    <w:basedOn w:val="a"/>
    <w:link w:val="af7"/>
    <w:uiPriority w:val="99"/>
    <w:semiHidden/>
    <w:rsid w:val="008A0452"/>
    <w:rPr>
      <w:rFonts w:ascii="Tahoma" w:hAnsi="Tahoma" w:cs="Tahoma"/>
      <w:sz w:val="16"/>
      <w:szCs w:val="16"/>
    </w:rPr>
  </w:style>
  <w:style w:type="character" w:customStyle="1" w:styleId="af7">
    <w:name w:val="טקסט בלונים תו"/>
    <w:link w:val="af6"/>
    <w:uiPriority w:val="99"/>
    <w:semiHidden/>
    <w:locked/>
    <w:rsid w:val="008A0452"/>
    <w:rPr>
      <w:rFonts w:ascii="Tahoma" w:hAnsi="Tahoma" w:cs="Tahoma"/>
      <w:sz w:val="16"/>
      <w:szCs w:val="16"/>
    </w:rPr>
  </w:style>
  <w:style w:type="table" w:styleId="af8">
    <w:name w:val="Table Grid"/>
    <w:basedOn w:val="a1"/>
    <w:uiPriority w:val="99"/>
    <w:rsid w:val="008A04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99"/>
    <w:qFormat/>
    <w:rsid w:val="008A0452"/>
    <w:pPr>
      <w:ind w:left="284" w:hanging="284"/>
      <w:jc w:val="both"/>
    </w:pPr>
    <w:rPr>
      <w:sz w:val="22"/>
      <w:szCs w:val="22"/>
    </w:rPr>
  </w:style>
  <w:style w:type="paragraph" w:styleId="afa">
    <w:name w:val="List Paragraph"/>
    <w:basedOn w:val="a"/>
    <w:uiPriority w:val="99"/>
    <w:qFormat/>
    <w:rsid w:val="00E640D0"/>
    <w:pPr>
      <w:spacing w:after="200" w:line="276" w:lineRule="auto"/>
      <w:ind w:left="720"/>
    </w:pPr>
    <w:rPr>
      <w:rFonts w:ascii="Calibri" w:hAnsi="Calibri"/>
    </w:rPr>
  </w:style>
  <w:style w:type="paragraph" w:styleId="afb">
    <w:name w:val="Quote"/>
    <w:basedOn w:val="a"/>
    <w:next w:val="a"/>
    <w:link w:val="afc"/>
    <w:uiPriority w:val="99"/>
    <w:qFormat/>
    <w:rsid w:val="008A0452"/>
    <w:pPr>
      <w:bidi w:val="0"/>
    </w:pPr>
    <w:rPr>
      <w:rFonts w:ascii="Calibri" w:hAnsi="Calibri" w:cs="Times New Roman"/>
      <w:i/>
      <w:iCs/>
      <w:color w:val="000000"/>
      <w:sz w:val="20"/>
      <w:szCs w:val="20"/>
    </w:rPr>
  </w:style>
  <w:style w:type="character" w:customStyle="1" w:styleId="afc">
    <w:name w:val="ציטוט תו"/>
    <w:link w:val="afb"/>
    <w:uiPriority w:val="99"/>
    <w:locked/>
    <w:rsid w:val="008A0452"/>
    <w:rPr>
      <w:rFonts w:eastAsia="Times New Roman" w:cs="Times New Roman"/>
      <w:i/>
      <w:color w:val="000000"/>
    </w:rPr>
  </w:style>
  <w:style w:type="paragraph" w:styleId="afd">
    <w:name w:val="Intense Quote"/>
    <w:basedOn w:val="a"/>
    <w:next w:val="a"/>
    <w:link w:val="afe"/>
    <w:uiPriority w:val="99"/>
    <w:qFormat/>
    <w:rsid w:val="008A0452"/>
    <w:pPr>
      <w:pBdr>
        <w:bottom w:val="single" w:sz="4" w:space="4" w:color="2DA2BF"/>
      </w:pBdr>
      <w:bidi w:val="0"/>
      <w:spacing w:before="200" w:after="280"/>
      <w:ind w:left="936" w:right="936"/>
    </w:pPr>
    <w:rPr>
      <w:rFonts w:ascii="Calibri" w:hAnsi="Calibri" w:cs="Times New Roman"/>
      <w:b/>
      <w:bCs/>
      <w:i/>
      <w:iCs/>
      <w:color w:val="2DA2BF"/>
      <w:sz w:val="20"/>
      <w:szCs w:val="20"/>
    </w:rPr>
  </w:style>
  <w:style w:type="character" w:customStyle="1" w:styleId="afe">
    <w:name w:val="ציטוט חזק תו"/>
    <w:link w:val="afd"/>
    <w:uiPriority w:val="99"/>
    <w:locked/>
    <w:rsid w:val="008A0452"/>
    <w:rPr>
      <w:rFonts w:eastAsia="Times New Roman" w:cs="Times New Roman"/>
      <w:b/>
      <w:i/>
      <w:color w:val="2DA2BF"/>
    </w:rPr>
  </w:style>
  <w:style w:type="character" w:styleId="aff">
    <w:name w:val="Subtle Emphasis"/>
    <w:uiPriority w:val="99"/>
    <w:qFormat/>
    <w:rsid w:val="008A0452"/>
    <w:rPr>
      <w:rFonts w:cs="Times New Roman"/>
      <w:i/>
      <w:color w:val="808080"/>
    </w:rPr>
  </w:style>
  <w:style w:type="character" w:styleId="aff0">
    <w:name w:val="Intense Emphasis"/>
    <w:uiPriority w:val="99"/>
    <w:qFormat/>
    <w:rsid w:val="008A0452"/>
    <w:rPr>
      <w:rFonts w:cs="Times New Roman"/>
      <w:b/>
      <w:i/>
      <w:color w:val="2DA2BF"/>
    </w:rPr>
  </w:style>
  <w:style w:type="character" w:styleId="aff1">
    <w:name w:val="Subtle Reference"/>
    <w:uiPriority w:val="99"/>
    <w:qFormat/>
    <w:rsid w:val="008A0452"/>
    <w:rPr>
      <w:rFonts w:cs="Times New Roman"/>
      <w:smallCaps/>
      <w:color w:val="auto"/>
      <w:u w:val="single"/>
    </w:rPr>
  </w:style>
  <w:style w:type="character" w:styleId="aff2">
    <w:name w:val="Intense Reference"/>
    <w:uiPriority w:val="99"/>
    <w:qFormat/>
    <w:rsid w:val="008A0452"/>
    <w:rPr>
      <w:rFonts w:cs="Times New Roman"/>
      <w:b/>
      <w:smallCaps/>
      <w:color w:val="auto"/>
      <w:spacing w:val="5"/>
      <w:u w:val="single"/>
    </w:rPr>
  </w:style>
  <w:style w:type="character" w:styleId="aff3">
    <w:name w:val="Book Title"/>
    <w:uiPriority w:val="99"/>
    <w:qFormat/>
    <w:rsid w:val="008A0452"/>
    <w:rPr>
      <w:rFonts w:cs="Times New Roman"/>
      <w:b/>
      <w:smallCaps/>
      <w:spacing w:val="5"/>
    </w:rPr>
  </w:style>
  <w:style w:type="paragraph" w:styleId="aff4">
    <w:name w:val="TOC Heading"/>
    <w:basedOn w:val="1"/>
    <w:next w:val="a"/>
    <w:uiPriority w:val="99"/>
    <w:qFormat/>
    <w:rsid w:val="008A0452"/>
    <w:pPr>
      <w:bidi w:val="0"/>
      <w:outlineLvl w:val="9"/>
    </w:pPr>
  </w:style>
  <w:style w:type="character" w:customStyle="1" w:styleId="11">
    <w:name w:val="טקסט הערת שוליים תו1"/>
    <w:uiPriority w:val="99"/>
    <w:rsid w:val="00586B77"/>
    <w:rPr>
      <w:rFonts w:ascii="Palatino Linotype" w:hAnsi="Palatino Linotype" w:cs="Monotype Hadassah"/>
      <w:sz w:val="14"/>
      <w:szCs w:val="14"/>
      <w:lang w:val="en-US" w:eastAsia="he-IL" w:bidi="he-IL"/>
    </w:rPr>
  </w:style>
  <w:style w:type="paragraph" w:styleId="aff5">
    <w:name w:val="Revision"/>
    <w:hidden/>
    <w:uiPriority w:val="99"/>
    <w:semiHidden/>
    <w:rsid w:val="00A71C2D"/>
    <w:rPr>
      <w:rFonts w:ascii="Times New Roman" w:hAnsi="Times New Roman" w:cs="Davi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494</Words>
  <Characters>2472</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2021-05-23T12:40:00Z</dcterms:created>
  <dcterms:modified xsi:type="dcterms:W3CDTF">2021-05-23T12:40:00Z</dcterms:modified>
</cp:coreProperties>
</file>